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CE87" w14:textId="77777777" w:rsidR="009752C1" w:rsidRPr="00826E23" w:rsidRDefault="1B939DBE" w:rsidP="00556768">
      <w:pPr>
        <w:pStyle w:val="Title"/>
        <w:rPr>
          <w:rFonts w:ascii="Arial" w:eastAsia="Times New Roman" w:hAnsi="Arial" w:cs="Arial"/>
          <w:lang w:val="en-GB" w:eastAsia="en-GB"/>
        </w:rPr>
      </w:pPr>
      <w:r w:rsidRPr="00826E23">
        <w:rPr>
          <w:rFonts w:ascii="Arial" w:eastAsia="Times New Roman" w:hAnsi="Arial" w:cs="Arial"/>
          <w:lang w:val="en-GB" w:eastAsia="en-GB"/>
        </w:rPr>
        <w:t>G</w:t>
      </w:r>
      <w:r w:rsidR="00895A4C" w:rsidRPr="00826E23">
        <w:rPr>
          <w:rFonts w:ascii="Arial" w:eastAsia="Times New Roman" w:hAnsi="Arial" w:cs="Arial"/>
          <w:lang w:val="en-GB" w:eastAsia="en-GB"/>
        </w:rPr>
        <w:t>ender Pay Report 2022</w:t>
      </w:r>
    </w:p>
    <w:p w14:paraId="4922D7FB" w14:textId="77777777" w:rsidR="00556768" w:rsidRPr="00826E23" w:rsidRDefault="00556768" w:rsidP="00556768">
      <w:pPr>
        <w:rPr>
          <w:rFonts w:ascii="Arial" w:hAnsi="Arial" w:cs="Arial"/>
          <w:lang w:val="en-GB" w:eastAsia="en-GB"/>
        </w:rPr>
      </w:pPr>
    </w:p>
    <w:p w14:paraId="77E4FC35" w14:textId="77777777" w:rsidR="00FD5CA4" w:rsidRPr="00826E23" w:rsidRDefault="0098288C" w:rsidP="00556768">
      <w:pPr>
        <w:rPr>
          <w:rFonts w:ascii="Arial" w:hAnsi="Arial" w:cs="Arial"/>
          <w:lang w:val="en-GB" w:eastAsia="en-GB"/>
        </w:rPr>
      </w:pPr>
      <w:r w:rsidRPr="00826E23">
        <w:rPr>
          <w:rFonts w:ascii="Arial" w:hAnsi="Arial" w:cs="Arial"/>
          <w:lang w:val="en-GB" w:eastAsia="en-GB"/>
        </w:rPr>
        <w:br w:type="page"/>
      </w:r>
    </w:p>
    <w:sdt>
      <w:sdtPr>
        <w:rPr>
          <w:rFonts w:ascii="Arial" w:eastAsiaTheme="minorHAnsi" w:hAnsi="Arial" w:cs="Arial"/>
          <w:color w:val="auto"/>
          <w:sz w:val="22"/>
          <w:szCs w:val="22"/>
          <w:lang w:val="en-GB"/>
        </w:rPr>
        <w:id w:val="-62485782"/>
        <w:docPartObj>
          <w:docPartGallery w:val="Table of Contents"/>
          <w:docPartUnique/>
        </w:docPartObj>
      </w:sdtPr>
      <w:sdtEndPr>
        <w:rPr>
          <w:b/>
          <w:bCs/>
          <w:noProof/>
        </w:rPr>
      </w:sdtEndPr>
      <w:sdtContent>
        <w:p w14:paraId="26AC7777" w14:textId="5264BFEE" w:rsidR="00FD5CA4" w:rsidRPr="00826E23" w:rsidRDefault="00FD5CA4">
          <w:pPr>
            <w:pStyle w:val="TOCHeading"/>
            <w:rPr>
              <w:rFonts w:ascii="Arial" w:hAnsi="Arial" w:cs="Arial"/>
              <w:color w:val="auto"/>
              <w:lang w:val="en-GB"/>
            </w:rPr>
          </w:pPr>
          <w:r w:rsidRPr="00826E23">
            <w:rPr>
              <w:rFonts w:ascii="Arial" w:hAnsi="Arial" w:cs="Arial"/>
              <w:color w:val="auto"/>
              <w:lang w:val="en-GB"/>
            </w:rPr>
            <w:t>Contents</w:t>
          </w:r>
        </w:p>
        <w:p w14:paraId="0B0E7255" w14:textId="6919BB8F" w:rsidR="00FD5CA4" w:rsidRPr="00826E23" w:rsidRDefault="00FD5CA4">
          <w:pPr>
            <w:pStyle w:val="TOC2"/>
            <w:tabs>
              <w:tab w:val="right" w:leader="dot" w:pos="9350"/>
            </w:tabs>
            <w:rPr>
              <w:rFonts w:ascii="Arial" w:hAnsi="Arial" w:cs="Arial"/>
              <w:noProof/>
              <w:lang w:val="en-GB"/>
            </w:rPr>
          </w:pPr>
          <w:r w:rsidRPr="00826E23">
            <w:rPr>
              <w:rFonts w:ascii="Arial" w:hAnsi="Arial" w:cs="Arial"/>
              <w:lang w:val="en-GB"/>
            </w:rPr>
            <w:fldChar w:fldCharType="begin"/>
          </w:r>
          <w:r w:rsidRPr="00826E23">
            <w:rPr>
              <w:rFonts w:ascii="Arial" w:hAnsi="Arial" w:cs="Arial"/>
              <w:lang w:val="en-GB"/>
            </w:rPr>
            <w:instrText xml:space="preserve"> TOC \o "1-3" \h \z \u </w:instrText>
          </w:r>
          <w:r w:rsidRPr="00826E23">
            <w:rPr>
              <w:rFonts w:ascii="Arial" w:hAnsi="Arial" w:cs="Arial"/>
              <w:lang w:val="en-GB"/>
            </w:rPr>
            <w:fldChar w:fldCharType="separate"/>
          </w:r>
          <w:hyperlink w:anchor="_Toc124787964" w:history="1">
            <w:r w:rsidRPr="00826E23">
              <w:rPr>
                <w:rStyle w:val="Hyperlink"/>
                <w:rFonts w:ascii="Arial" w:hAnsi="Arial" w:cs="Arial"/>
                <w:noProof/>
                <w:lang w:val="en-GB"/>
              </w:rPr>
              <w:t>Foreword</w:t>
            </w:r>
            <w:r w:rsidRPr="00826E23">
              <w:rPr>
                <w:rFonts w:ascii="Arial" w:hAnsi="Arial" w:cs="Arial"/>
                <w:noProof/>
                <w:webHidden/>
                <w:lang w:val="en-GB"/>
              </w:rPr>
              <w:tab/>
            </w:r>
            <w:r w:rsidRPr="00826E23">
              <w:rPr>
                <w:rFonts w:ascii="Arial" w:hAnsi="Arial" w:cs="Arial"/>
                <w:noProof/>
                <w:webHidden/>
                <w:lang w:val="en-GB"/>
              </w:rPr>
              <w:fldChar w:fldCharType="begin"/>
            </w:r>
            <w:r w:rsidRPr="00826E23">
              <w:rPr>
                <w:rFonts w:ascii="Arial" w:hAnsi="Arial" w:cs="Arial"/>
                <w:noProof/>
                <w:webHidden/>
                <w:lang w:val="en-GB"/>
              </w:rPr>
              <w:instrText xml:space="preserve"> PAGEREF _Toc124787964 \h </w:instrText>
            </w:r>
            <w:r w:rsidRPr="00826E23">
              <w:rPr>
                <w:rFonts w:ascii="Arial" w:hAnsi="Arial" w:cs="Arial"/>
                <w:noProof/>
                <w:webHidden/>
                <w:lang w:val="en-GB"/>
              </w:rPr>
            </w:r>
            <w:r w:rsidRPr="00826E23">
              <w:rPr>
                <w:rFonts w:ascii="Arial" w:hAnsi="Arial" w:cs="Arial"/>
                <w:noProof/>
                <w:webHidden/>
                <w:lang w:val="en-GB"/>
              </w:rPr>
              <w:fldChar w:fldCharType="separate"/>
            </w:r>
            <w:r w:rsidRPr="00826E23">
              <w:rPr>
                <w:rFonts w:ascii="Arial" w:hAnsi="Arial" w:cs="Arial"/>
                <w:noProof/>
                <w:webHidden/>
                <w:lang w:val="en-GB"/>
              </w:rPr>
              <w:t>2</w:t>
            </w:r>
            <w:r w:rsidRPr="00826E23">
              <w:rPr>
                <w:rFonts w:ascii="Arial" w:hAnsi="Arial" w:cs="Arial"/>
                <w:noProof/>
                <w:webHidden/>
                <w:lang w:val="en-GB"/>
              </w:rPr>
              <w:fldChar w:fldCharType="end"/>
            </w:r>
          </w:hyperlink>
        </w:p>
        <w:p w14:paraId="4444E72B" w14:textId="341BBDC9" w:rsidR="00FD5CA4" w:rsidRPr="00826E23" w:rsidRDefault="00485581">
          <w:pPr>
            <w:pStyle w:val="TOC2"/>
            <w:tabs>
              <w:tab w:val="right" w:leader="dot" w:pos="9350"/>
            </w:tabs>
            <w:rPr>
              <w:rFonts w:ascii="Arial" w:hAnsi="Arial" w:cs="Arial"/>
              <w:noProof/>
              <w:lang w:val="en-GB"/>
            </w:rPr>
          </w:pPr>
          <w:hyperlink w:anchor="_Toc124787965" w:history="1">
            <w:r w:rsidR="00FD5CA4" w:rsidRPr="00826E23">
              <w:rPr>
                <w:rStyle w:val="Hyperlink"/>
                <w:rFonts w:ascii="Arial" w:hAnsi="Arial" w:cs="Arial"/>
                <w:noProof/>
                <w:lang w:val="en-GB"/>
              </w:rPr>
              <w:t>Foreword</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_Toc124787965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3</w:t>
            </w:r>
            <w:r w:rsidR="00FD5CA4" w:rsidRPr="00826E23">
              <w:rPr>
                <w:rFonts w:ascii="Arial" w:hAnsi="Arial" w:cs="Arial"/>
                <w:noProof/>
                <w:webHidden/>
                <w:lang w:val="en-GB"/>
              </w:rPr>
              <w:fldChar w:fldCharType="end"/>
            </w:r>
          </w:hyperlink>
        </w:p>
        <w:p w14:paraId="2265309E" w14:textId="232C78EF" w:rsidR="00FD5CA4" w:rsidRPr="00826E23" w:rsidRDefault="00485581">
          <w:pPr>
            <w:pStyle w:val="TOC2"/>
            <w:tabs>
              <w:tab w:val="left" w:pos="1760"/>
              <w:tab w:val="right" w:leader="dot" w:pos="9350"/>
            </w:tabs>
            <w:rPr>
              <w:rFonts w:ascii="Arial" w:hAnsi="Arial" w:cs="Arial"/>
              <w:noProof/>
              <w:lang w:val="en-GB"/>
            </w:rPr>
          </w:pPr>
          <w:hyperlink w:anchor="_Toc124787966" w:history="1">
            <w:r w:rsidR="00FD5CA4" w:rsidRPr="00826E23">
              <w:rPr>
                <w:rStyle w:val="Hyperlink"/>
                <w:rFonts w:ascii="Arial" w:hAnsi="Arial" w:cs="Arial"/>
                <w:noProof/>
                <w:lang w:val="en-GB"/>
              </w:rPr>
              <w:t xml:space="preserve">Our purpose </w:t>
            </w:r>
            <w:r w:rsidR="00FD5CA4" w:rsidRPr="00826E23">
              <w:rPr>
                <w:rFonts w:ascii="Arial" w:hAnsi="Arial" w:cs="Arial"/>
                <w:noProof/>
                <w:lang w:val="en-GB"/>
              </w:rPr>
              <w:tab/>
            </w:r>
            <w:r w:rsidR="00FD5CA4" w:rsidRPr="00826E23">
              <w:rPr>
                <w:rStyle w:val="Hyperlink"/>
                <w:rFonts w:ascii="Arial" w:hAnsi="Arial" w:cs="Arial"/>
                <w:noProof/>
                <w:lang w:val="en-GB"/>
              </w:rPr>
              <w:t>Helping you make better decisions to stay safe and thrive</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_Toc124787966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4</w:t>
            </w:r>
            <w:r w:rsidR="00FD5CA4" w:rsidRPr="00826E23">
              <w:rPr>
                <w:rFonts w:ascii="Arial" w:hAnsi="Arial" w:cs="Arial"/>
                <w:noProof/>
                <w:webHidden/>
                <w:lang w:val="en-GB"/>
              </w:rPr>
              <w:fldChar w:fldCharType="end"/>
            </w:r>
          </w:hyperlink>
        </w:p>
        <w:p w14:paraId="1F06E8A1" w14:textId="1113558D" w:rsidR="00FD5CA4" w:rsidRPr="00826E23" w:rsidRDefault="00485581">
          <w:pPr>
            <w:pStyle w:val="TOC2"/>
            <w:tabs>
              <w:tab w:val="right" w:leader="dot" w:pos="9350"/>
            </w:tabs>
            <w:rPr>
              <w:rFonts w:ascii="Arial" w:hAnsi="Arial" w:cs="Arial"/>
              <w:noProof/>
              <w:lang w:val="en-GB"/>
            </w:rPr>
          </w:pPr>
          <w:hyperlink w:anchor="_Toc124787967" w:history="1">
            <w:r w:rsidR="00FD5CA4" w:rsidRPr="00826E23">
              <w:rPr>
                <w:rStyle w:val="Hyperlink"/>
                <w:rFonts w:ascii="Arial" w:eastAsia="Times New Roman" w:hAnsi="Arial" w:cs="Arial"/>
                <w:noProof/>
                <w:lang w:val="en-GB" w:eastAsia="en-GB"/>
              </w:rPr>
              <w:t>Key Facts</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_Toc124787967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5</w:t>
            </w:r>
            <w:r w:rsidR="00FD5CA4" w:rsidRPr="00826E23">
              <w:rPr>
                <w:rFonts w:ascii="Arial" w:hAnsi="Arial" w:cs="Arial"/>
                <w:noProof/>
                <w:webHidden/>
                <w:lang w:val="en-GB"/>
              </w:rPr>
              <w:fldChar w:fldCharType="end"/>
            </w:r>
          </w:hyperlink>
        </w:p>
        <w:p w14:paraId="67172A0C" w14:textId="37913881" w:rsidR="00FD5CA4" w:rsidRPr="00826E23" w:rsidRDefault="00485581">
          <w:pPr>
            <w:pStyle w:val="TOC3"/>
            <w:tabs>
              <w:tab w:val="right" w:leader="dot" w:pos="9350"/>
            </w:tabs>
            <w:rPr>
              <w:rFonts w:ascii="Arial" w:hAnsi="Arial" w:cs="Arial"/>
              <w:noProof/>
              <w:lang w:val="en-GB"/>
            </w:rPr>
          </w:pPr>
          <w:hyperlink w:anchor="_Toc124787968" w:history="1">
            <w:r w:rsidR="00FD5CA4" w:rsidRPr="00826E23">
              <w:rPr>
                <w:rStyle w:val="Hyperlink"/>
                <w:rFonts w:ascii="Arial" w:eastAsia="Times New Roman" w:hAnsi="Arial" w:cs="Arial"/>
                <w:noProof/>
                <w:lang w:val="en-GB" w:eastAsia="en-GB"/>
              </w:rPr>
              <w:t>What is the Gender Pay Gap?</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_Toc124787968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5</w:t>
            </w:r>
            <w:r w:rsidR="00FD5CA4" w:rsidRPr="00826E23">
              <w:rPr>
                <w:rFonts w:ascii="Arial" w:hAnsi="Arial" w:cs="Arial"/>
                <w:noProof/>
                <w:webHidden/>
                <w:lang w:val="en-GB"/>
              </w:rPr>
              <w:fldChar w:fldCharType="end"/>
            </w:r>
          </w:hyperlink>
        </w:p>
        <w:p w14:paraId="7EB50C16" w14:textId="16A5FF85" w:rsidR="00FD5CA4" w:rsidRPr="00826E23" w:rsidRDefault="00485581">
          <w:pPr>
            <w:pStyle w:val="TOC3"/>
            <w:tabs>
              <w:tab w:val="right" w:leader="dot" w:pos="9350"/>
            </w:tabs>
            <w:rPr>
              <w:rFonts w:ascii="Arial" w:hAnsi="Arial" w:cs="Arial"/>
              <w:noProof/>
              <w:lang w:val="en-GB"/>
            </w:rPr>
          </w:pPr>
          <w:hyperlink w:anchor="_Toc124787969" w:history="1">
            <w:r w:rsidR="00FD5CA4" w:rsidRPr="00826E23">
              <w:rPr>
                <w:rStyle w:val="Hyperlink"/>
                <w:rFonts w:ascii="Arial" w:hAnsi="Arial" w:cs="Arial"/>
                <w:noProof/>
                <w:lang w:val="en-GB"/>
              </w:rPr>
              <w:t>Met Office employees at snapshot date</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_Toc124787969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5</w:t>
            </w:r>
            <w:r w:rsidR="00FD5CA4" w:rsidRPr="00826E23">
              <w:rPr>
                <w:rFonts w:ascii="Arial" w:hAnsi="Arial" w:cs="Arial"/>
                <w:noProof/>
                <w:webHidden/>
                <w:lang w:val="en-GB"/>
              </w:rPr>
              <w:fldChar w:fldCharType="end"/>
            </w:r>
          </w:hyperlink>
        </w:p>
        <w:p w14:paraId="029DA042" w14:textId="2DBD4FBE" w:rsidR="00FD5CA4" w:rsidRPr="00826E23" w:rsidRDefault="00485581">
          <w:pPr>
            <w:pStyle w:val="TOC3"/>
            <w:tabs>
              <w:tab w:val="right" w:leader="dot" w:pos="9350"/>
            </w:tabs>
            <w:rPr>
              <w:rFonts w:ascii="Arial" w:hAnsi="Arial" w:cs="Arial"/>
              <w:noProof/>
              <w:lang w:val="en-GB"/>
            </w:rPr>
          </w:pPr>
          <w:hyperlink w:anchor="_Toc124787970" w:history="1">
            <w:r w:rsidR="00FD5CA4" w:rsidRPr="00826E23">
              <w:rPr>
                <w:rStyle w:val="Hyperlink"/>
                <w:rFonts w:ascii="Arial" w:eastAsia="Times New Roman" w:hAnsi="Arial" w:cs="Arial"/>
                <w:noProof/>
                <w:lang w:val="en-GB" w:eastAsia="en-GB"/>
              </w:rPr>
              <w:t>Statutory Measure</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_Toc124787970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5</w:t>
            </w:r>
            <w:r w:rsidR="00FD5CA4" w:rsidRPr="00826E23">
              <w:rPr>
                <w:rFonts w:ascii="Arial" w:hAnsi="Arial" w:cs="Arial"/>
                <w:noProof/>
                <w:webHidden/>
                <w:lang w:val="en-GB"/>
              </w:rPr>
              <w:fldChar w:fldCharType="end"/>
            </w:r>
          </w:hyperlink>
        </w:p>
        <w:p w14:paraId="7419A59E" w14:textId="42634332" w:rsidR="00FD5CA4" w:rsidRPr="00826E23" w:rsidRDefault="00485581">
          <w:pPr>
            <w:pStyle w:val="TOC3"/>
            <w:tabs>
              <w:tab w:val="right" w:leader="dot" w:pos="9350"/>
            </w:tabs>
            <w:rPr>
              <w:rFonts w:ascii="Arial" w:hAnsi="Arial" w:cs="Arial"/>
              <w:noProof/>
              <w:lang w:val="en-GB"/>
            </w:rPr>
          </w:pPr>
          <w:hyperlink w:anchor="_Toc124787971" w:history="1">
            <w:r w:rsidR="00FD5CA4" w:rsidRPr="00826E23">
              <w:rPr>
                <w:rStyle w:val="Hyperlink"/>
                <w:rFonts w:ascii="Arial" w:hAnsi="Arial" w:cs="Arial"/>
                <w:noProof/>
                <w:lang w:val="en-GB"/>
              </w:rPr>
              <w:t>Gender Pay Gap regulations</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_Toc124787971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5</w:t>
            </w:r>
            <w:r w:rsidR="00FD5CA4" w:rsidRPr="00826E23">
              <w:rPr>
                <w:rFonts w:ascii="Arial" w:hAnsi="Arial" w:cs="Arial"/>
                <w:noProof/>
                <w:webHidden/>
                <w:lang w:val="en-GB"/>
              </w:rPr>
              <w:fldChar w:fldCharType="end"/>
            </w:r>
          </w:hyperlink>
        </w:p>
        <w:p w14:paraId="16F38D99" w14:textId="7F74EB29" w:rsidR="00FD5CA4" w:rsidRPr="00826E23" w:rsidRDefault="00485581">
          <w:pPr>
            <w:pStyle w:val="TOC2"/>
            <w:tabs>
              <w:tab w:val="right" w:leader="dot" w:pos="9350"/>
            </w:tabs>
            <w:rPr>
              <w:rFonts w:ascii="Arial" w:hAnsi="Arial" w:cs="Arial"/>
              <w:noProof/>
              <w:lang w:val="en-GB"/>
            </w:rPr>
          </w:pPr>
          <w:hyperlink w:anchor="_Toc124787972" w:history="1">
            <w:r w:rsidR="00FD5CA4" w:rsidRPr="00826E23">
              <w:rPr>
                <w:rStyle w:val="Hyperlink"/>
                <w:rFonts w:ascii="Arial" w:eastAsia="Times New Roman" w:hAnsi="Arial" w:cs="Arial"/>
                <w:noProof/>
                <w:lang w:val="en-GB" w:eastAsia="en-GB"/>
              </w:rPr>
              <w:t>Key Findings</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_Toc124787972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7</w:t>
            </w:r>
            <w:r w:rsidR="00FD5CA4" w:rsidRPr="00826E23">
              <w:rPr>
                <w:rFonts w:ascii="Arial" w:hAnsi="Arial" w:cs="Arial"/>
                <w:noProof/>
                <w:webHidden/>
                <w:lang w:val="en-GB"/>
              </w:rPr>
              <w:fldChar w:fldCharType="end"/>
            </w:r>
          </w:hyperlink>
        </w:p>
        <w:p w14:paraId="188BE00E" w14:textId="31E2D218" w:rsidR="00FD5CA4" w:rsidRPr="00826E23" w:rsidRDefault="00485581">
          <w:pPr>
            <w:pStyle w:val="TOC2"/>
            <w:tabs>
              <w:tab w:val="right" w:leader="dot" w:pos="9350"/>
            </w:tabs>
            <w:rPr>
              <w:rFonts w:ascii="Arial" w:hAnsi="Arial" w:cs="Arial"/>
              <w:noProof/>
              <w:lang w:val="en-GB"/>
            </w:rPr>
          </w:pPr>
          <w:hyperlink w:anchor="_Toc124787973" w:history="1">
            <w:r w:rsidR="00FD5CA4" w:rsidRPr="00826E23">
              <w:rPr>
                <w:rStyle w:val="Hyperlink"/>
                <w:rFonts w:ascii="Arial" w:eastAsia="Times New Roman" w:hAnsi="Arial" w:cs="Arial"/>
                <w:noProof/>
                <w:lang w:val="en-GB" w:eastAsia="en-GB"/>
              </w:rPr>
              <w:t>Taking action</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_Toc124787973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8</w:t>
            </w:r>
            <w:r w:rsidR="00FD5CA4" w:rsidRPr="00826E23">
              <w:rPr>
                <w:rFonts w:ascii="Arial" w:hAnsi="Arial" w:cs="Arial"/>
                <w:noProof/>
                <w:webHidden/>
                <w:lang w:val="en-GB"/>
              </w:rPr>
              <w:fldChar w:fldCharType="end"/>
            </w:r>
          </w:hyperlink>
        </w:p>
        <w:p w14:paraId="491F38C6" w14:textId="45875572" w:rsidR="00FD5CA4" w:rsidRPr="00826E23" w:rsidRDefault="00485581">
          <w:pPr>
            <w:pStyle w:val="TOC2"/>
            <w:tabs>
              <w:tab w:val="right" w:leader="dot" w:pos="9350"/>
            </w:tabs>
            <w:rPr>
              <w:rFonts w:ascii="Arial" w:hAnsi="Arial" w:cs="Arial"/>
              <w:noProof/>
              <w:lang w:val="en-GB"/>
            </w:rPr>
          </w:pPr>
          <w:hyperlink w:anchor="_Toc124787974" w:history="1">
            <w:r w:rsidR="00FD5CA4" w:rsidRPr="00826E23">
              <w:rPr>
                <w:rStyle w:val="Hyperlink"/>
                <w:rFonts w:ascii="Arial" w:eastAsia="Times New Roman" w:hAnsi="Arial" w:cs="Arial"/>
                <w:noProof/>
                <w:lang w:val="en-GB" w:eastAsia="en-GB"/>
              </w:rPr>
              <w:t>Declaration</w:t>
            </w:r>
            <w:r w:rsidR="00FD5CA4" w:rsidRPr="00826E23">
              <w:rPr>
                <w:rFonts w:ascii="Arial" w:hAnsi="Arial" w:cs="Arial"/>
                <w:noProof/>
                <w:webHidden/>
                <w:lang w:val="en-GB"/>
              </w:rPr>
              <w:tab/>
            </w:r>
            <w:r w:rsidR="00FD5CA4" w:rsidRPr="00826E23">
              <w:rPr>
                <w:rFonts w:ascii="Arial" w:hAnsi="Arial" w:cs="Arial"/>
                <w:noProof/>
                <w:webHidden/>
                <w:lang w:val="en-GB"/>
              </w:rPr>
              <w:fldChar w:fldCharType="begin"/>
            </w:r>
            <w:r w:rsidR="00FD5CA4" w:rsidRPr="00826E23">
              <w:rPr>
                <w:rFonts w:ascii="Arial" w:hAnsi="Arial" w:cs="Arial"/>
                <w:noProof/>
                <w:webHidden/>
                <w:lang w:val="en-GB"/>
              </w:rPr>
              <w:instrText xml:space="preserve"> PAGEREF _Toc124787974 \h </w:instrText>
            </w:r>
            <w:r w:rsidR="00FD5CA4" w:rsidRPr="00826E23">
              <w:rPr>
                <w:rFonts w:ascii="Arial" w:hAnsi="Arial" w:cs="Arial"/>
                <w:noProof/>
                <w:webHidden/>
                <w:lang w:val="en-GB"/>
              </w:rPr>
            </w:r>
            <w:r w:rsidR="00FD5CA4" w:rsidRPr="00826E23">
              <w:rPr>
                <w:rFonts w:ascii="Arial" w:hAnsi="Arial" w:cs="Arial"/>
                <w:noProof/>
                <w:webHidden/>
                <w:lang w:val="en-GB"/>
              </w:rPr>
              <w:fldChar w:fldCharType="separate"/>
            </w:r>
            <w:r w:rsidR="00FD5CA4" w:rsidRPr="00826E23">
              <w:rPr>
                <w:rFonts w:ascii="Arial" w:hAnsi="Arial" w:cs="Arial"/>
                <w:noProof/>
                <w:webHidden/>
                <w:lang w:val="en-GB"/>
              </w:rPr>
              <w:t>9</w:t>
            </w:r>
            <w:r w:rsidR="00FD5CA4" w:rsidRPr="00826E23">
              <w:rPr>
                <w:rFonts w:ascii="Arial" w:hAnsi="Arial" w:cs="Arial"/>
                <w:noProof/>
                <w:webHidden/>
                <w:lang w:val="en-GB"/>
              </w:rPr>
              <w:fldChar w:fldCharType="end"/>
            </w:r>
          </w:hyperlink>
        </w:p>
        <w:p w14:paraId="416FCD99" w14:textId="73E5CFE0" w:rsidR="00FD5CA4" w:rsidRPr="00826E23" w:rsidRDefault="00FD5CA4">
          <w:pPr>
            <w:rPr>
              <w:rFonts w:ascii="Arial" w:hAnsi="Arial" w:cs="Arial"/>
              <w:lang w:val="en-GB"/>
            </w:rPr>
          </w:pPr>
          <w:r w:rsidRPr="00826E23">
            <w:rPr>
              <w:rFonts w:ascii="Arial" w:hAnsi="Arial" w:cs="Arial"/>
              <w:b/>
              <w:bCs/>
              <w:noProof/>
              <w:lang w:val="en-GB"/>
            </w:rPr>
            <w:fldChar w:fldCharType="end"/>
          </w:r>
        </w:p>
      </w:sdtContent>
    </w:sdt>
    <w:p w14:paraId="7552E090" w14:textId="26038F9D" w:rsidR="00895A4C" w:rsidRPr="00895A4C" w:rsidRDefault="007621A5" w:rsidP="007621A5">
      <w:pPr>
        <w:rPr>
          <w:rFonts w:ascii="Arial" w:hAnsi="Arial" w:cs="Arial"/>
          <w:lang w:val="en-GB" w:eastAsia="en-GB"/>
        </w:rPr>
      </w:pPr>
      <w:r w:rsidRPr="00826E23">
        <w:rPr>
          <w:rFonts w:ascii="Arial" w:hAnsi="Arial" w:cs="Arial"/>
          <w:lang w:val="en-GB" w:eastAsia="en-GB"/>
        </w:rPr>
        <w:br w:type="page"/>
      </w:r>
    </w:p>
    <w:p w14:paraId="5A7D1D98" w14:textId="77777777" w:rsidR="00895A4C" w:rsidRPr="00826E23" w:rsidRDefault="00895A4C" w:rsidP="00BA4540">
      <w:pPr>
        <w:pStyle w:val="Heading2"/>
        <w:rPr>
          <w:rFonts w:ascii="Arial" w:hAnsi="Arial" w:cs="Arial"/>
          <w:b/>
          <w:bCs/>
          <w:color w:val="auto"/>
          <w:lang w:val="en-GB"/>
        </w:rPr>
      </w:pPr>
      <w:bookmarkStart w:id="0" w:name="_Toc124787964"/>
      <w:r w:rsidRPr="00826E23">
        <w:rPr>
          <w:rFonts w:ascii="Arial" w:hAnsi="Arial" w:cs="Arial"/>
          <w:b/>
          <w:bCs/>
          <w:color w:val="auto"/>
          <w:lang w:val="en-GB"/>
        </w:rPr>
        <w:t>Foreword</w:t>
      </w:r>
      <w:bookmarkEnd w:id="0"/>
      <w:r w:rsidRPr="00826E23">
        <w:rPr>
          <w:rFonts w:ascii="Arial" w:hAnsi="Arial" w:cs="Arial"/>
          <w:b/>
          <w:bCs/>
          <w:color w:val="auto"/>
          <w:lang w:val="en-GB"/>
        </w:rPr>
        <w:t> </w:t>
      </w:r>
    </w:p>
    <w:p w14:paraId="4D42C47A" w14:textId="77777777" w:rsidR="009366A0" w:rsidRPr="00826E23" w:rsidRDefault="0022786A" w:rsidP="00CD2451">
      <w:pPr>
        <w:rPr>
          <w:rFonts w:ascii="Arial" w:hAnsi="Arial" w:cs="Arial"/>
          <w:lang w:val="en-GB"/>
        </w:rPr>
      </w:pPr>
      <w:r w:rsidRPr="00826E23">
        <w:rPr>
          <w:rFonts w:ascii="Arial" w:hAnsi="Arial" w:cs="Arial"/>
          <w:lang w:val="en-GB"/>
        </w:rPr>
        <w:t xml:space="preserve">The Met Office is a high skill organisation which is totally dependent on the talent and commitment of our people. We need to recruit from all sections of society, and then retain those recruits to give us the widest possible group of skilled staff. </w:t>
      </w:r>
    </w:p>
    <w:p w14:paraId="5D951527" w14:textId="22EC8CD5" w:rsidR="003A258F" w:rsidRPr="00826E23" w:rsidRDefault="0022786A" w:rsidP="00CD2451">
      <w:pPr>
        <w:rPr>
          <w:rFonts w:ascii="Arial" w:hAnsi="Arial" w:cs="Arial"/>
          <w:lang w:val="en-GB"/>
        </w:rPr>
      </w:pPr>
      <w:r w:rsidRPr="00826E23">
        <w:rPr>
          <w:rFonts w:ascii="Arial" w:hAnsi="Arial" w:cs="Arial"/>
          <w:lang w:val="en-GB"/>
        </w:rPr>
        <w:t xml:space="preserve">I am very pleased to see the continuing movement towards equality of recruitment and pay on gender, which has been sustained over several years and is at a low level compared with almost all organisations. With entry-level roles now being recruited with gender parity; in itself an achievement given the STEM subjects we largely recruit; our focus should be on ensuring that all staff have equal chances to develop their talents and progress through the organisation, and that we are a great place to work where people can thrive in their careers and want to stay. That will allow us to address the </w:t>
      </w:r>
      <w:r w:rsidRPr="00826E23">
        <w:rPr>
          <w:rFonts w:ascii="Arial" w:hAnsi="Arial" w:cs="Arial"/>
          <w:lang w:val="en-GB"/>
        </w:rPr>
        <w:t>underrepresentation</w:t>
      </w:r>
      <w:r w:rsidRPr="00826E23">
        <w:rPr>
          <w:rFonts w:ascii="Arial" w:hAnsi="Arial" w:cs="Arial"/>
          <w:lang w:val="en-GB"/>
        </w:rPr>
        <w:t xml:space="preserve"> of women towards the top of the organisation, which is contributing the last few percent of gender pay gap inequality. </w:t>
      </w:r>
    </w:p>
    <w:p w14:paraId="67637ADF" w14:textId="55B545FD" w:rsidR="00CD2451" w:rsidRPr="00826E23" w:rsidRDefault="0022786A" w:rsidP="00CD2451">
      <w:pPr>
        <w:rPr>
          <w:rFonts w:ascii="Arial" w:hAnsi="Arial" w:cs="Arial"/>
          <w:lang w:val="en-GB"/>
        </w:rPr>
      </w:pPr>
      <w:r w:rsidRPr="00826E23">
        <w:rPr>
          <w:rFonts w:ascii="Arial" w:hAnsi="Arial" w:cs="Arial"/>
          <w:lang w:val="en-GB"/>
        </w:rPr>
        <w:t xml:space="preserve">Our progress on gender equality is of course only a part of our wider work on equality, </w:t>
      </w:r>
      <w:r w:rsidR="00826E23" w:rsidRPr="00826E23">
        <w:rPr>
          <w:rFonts w:ascii="Arial" w:hAnsi="Arial" w:cs="Arial"/>
          <w:lang w:val="en-GB"/>
        </w:rPr>
        <w:t>diversity,</w:t>
      </w:r>
      <w:r w:rsidRPr="00826E23">
        <w:rPr>
          <w:rFonts w:ascii="Arial" w:hAnsi="Arial" w:cs="Arial"/>
          <w:lang w:val="en-GB"/>
        </w:rPr>
        <w:t xml:space="preserve"> and inclusion, and we will look to build on the success we had in this area across all protected characteristics.</w:t>
      </w:r>
    </w:p>
    <w:p w14:paraId="3792B176" w14:textId="2D77B584" w:rsidR="001D4468" w:rsidRPr="00826E23" w:rsidRDefault="00BE7C5F" w:rsidP="001D4468">
      <w:pPr>
        <w:rPr>
          <w:rFonts w:ascii="Arial" w:hAnsi="Arial" w:cs="Arial"/>
          <w:lang w:val="en-GB"/>
        </w:rPr>
      </w:pPr>
      <w:r w:rsidRPr="00826E23">
        <w:rPr>
          <w:rFonts w:ascii="Arial" w:hAnsi="Arial" w:cs="Arial"/>
          <w:lang w:val="en-GB"/>
        </w:rPr>
        <w:t>Penny Endersby, Chief Executive</w:t>
      </w:r>
    </w:p>
    <w:p w14:paraId="6C2DDB8E" w14:textId="77777777" w:rsidR="001D4468" w:rsidRPr="00826E23" w:rsidRDefault="001D4468" w:rsidP="001D4468">
      <w:pPr>
        <w:rPr>
          <w:rFonts w:ascii="Arial" w:hAnsi="Arial" w:cs="Arial"/>
          <w:lang w:val="en-GB"/>
        </w:rPr>
      </w:pPr>
    </w:p>
    <w:p w14:paraId="23C32908" w14:textId="77777777" w:rsidR="00954863" w:rsidRPr="00826E23" w:rsidRDefault="00954863">
      <w:pPr>
        <w:rPr>
          <w:rFonts w:ascii="Arial" w:hAnsi="Arial" w:cs="Arial"/>
          <w:color w:val="2F5496" w:themeColor="accent1" w:themeShade="BF"/>
          <w:sz w:val="26"/>
          <w:szCs w:val="26"/>
          <w:lang w:val="en-GB"/>
        </w:rPr>
      </w:pPr>
      <w:r w:rsidRPr="00826E23">
        <w:rPr>
          <w:rFonts w:ascii="Arial" w:hAnsi="Arial" w:cs="Arial"/>
          <w:lang w:val="en-GB"/>
        </w:rPr>
        <w:lastRenderedPageBreak/>
        <w:br w:type="page"/>
      </w:r>
    </w:p>
    <w:p w14:paraId="398BBB27" w14:textId="14D0B446" w:rsidR="001D4468" w:rsidRPr="00826E23" w:rsidRDefault="001D4468" w:rsidP="00BA4540">
      <w:pPr>
        <w:pStyle w:val="Heading2"/>
        <w:rPr>
          <w:rFonts w:ascii="Arial" w:eastAsiaTheme="minorHAnsi" w:hAnsi="Arial" w:cs="Arial"/>
          <w:b/>
          <w:bCs/>
          <w:color w:val="auto"/>
          <w:lang w:val="en-GB"/>
        </w:rPr>
      </w:pPr>
      <w:bookmarkStart w:id="1" w:name="_Toc124787965"/>
      <w:r w:rsidRPr="00826E23">
        <w:rPr>
          <w:rFonts w:ascii="Arial" w:eastAsiaTheme="minorHAnsi" w:hAnsi="Arial" w:cs="Arial"/>
          <w:b/>
          <w:bCs/>
          <w:color w:val="auto"/>
          <w:lang w:val="en-GB"/>
        </w:rPr>
        <w:lastRenderedPageBreak/>
        <w:t>Foreword</w:t>
      </w:r>
      <w:bookmarkEnd w:id="1"/>
    </w:p>
    <w:p w14:paraId="04BEF6CA" w14:textId="77777777" w:rsidR="00D252A6" w:rsidRPr="00826E23" w:rsidRDefault="00D234A4" w:rsidP="00C115D4">
      <w:pPr>
        <w:rPr>
          <w:rFonts w:ascii="Arial" w:hAnsi="Arial" w:cs="Arial"/>
          <w:lang w:val="en-GB"/>
        </w:rPr>
      </w:pPr>
      <w:r w:rsidRPr="00826E23">
        <w:rPr>
          <w:rFonts w:ascii="Arial" w:hAnsi="Arial" w:cs="Arial"/>
          <w:lang w:val="en-GB"/>
        </w:rPr>
        <w:t xml:space="preserve">The Met Office </w:t>
      </w:r>
      <w:r w:rsidRPr="00826E23">
        <w:rPr>
          <w:rFonts w:ascii="Arial" w:hAnsi="Arial" w:cs="Arial"/>
          <w:lang w:val="en-GB"/>
        </w:rPr>
        <w:t xml:space="preserve">continue to lead and invest in our people and culture to make the Met Office a great place to work for all. We have committed to making the Met Office more representative of the population we serve. I am pleased to report that our gender pay gaps continue to decrease year on year, since we started reporting in 2017. </w:t>
      </w:r>
    </w:p>
    <w:p w14:paraId="19AB6D28" w14:textId="77777777" w:rsidR="00D252A6" w:rsidRPr="00826E23" w:rsidRDefault="00D234A4" w:rsidP="00C115D4">
      <w:pPr>
        <w:rPr>
          <w:rFonts w:ascii="Arial" w:hAnsi="Arial" w:cs="Arial"/>
          <w:lang w:val="en-GB"/>
        </w:rPr>
      </w:pPr>
      <w:r w:rsidRPr="00826E23">
        <w:rPr>
          <w:rFonts w:ascii="Arial" w:hAnsi="Arial" w:cs="Arial"/>
          <w:lang w:val="en-GB"/>
        </w:rPr>
        <w:t>The mean pay gap has dropped from 6.5% in March 2021 to 5.6% (more than halving our position of 11.7% in 2017), and whilst the median gender pay gap has risen this year by 0.1% to 4.1%, we are still in a significantly more favourable position than six years ago, when we reported a median result of 9.9%. The proportion of females receiving an in-year bonus payment has, for the first time, exceeded bonus payments awarded to males; the mean bonus gap now standing at 2.5% and the median at -0.5%. A higher proportion of females are now joining the organisation (43%), and 48% of promotions have been accepted by female candidates. Lower-middle and higher-middle salary gender pay splits have both decreased from 2021, which demonstrates an increased number of females working within these pay groups.</w:t>
      </w:r>
    </w:p>
    <w:p w14:paraId="0A80D585" w14:textId="2D3FB6B6" w:rsidR="00C67C9B" w:rsidRPr="00826E23" w:rsidRDefault="00D234A4" w:rsidP="00C115D4">
      <w:pPr>
        <w:rPr>
          <w:rFonts w:ascii="Arial" w:hAnsi="Arial" w:cs="Arial"/>
          <w:lang w:val="en-GB"/>
        </w:rPr>
      </w:pPr>
      <w:r w:rsidRPr="00826E23">
        <w:rPr>
          <w:rFonts w:ascii="Arial" w:hAnsi="Arial" w:cs="Arial"/>
          <w:lang w:val="en-GB"/>
        </w:rPr>
        <w:t xml:space="preserve">It’s encouraging to see our commitment to Women in STEM paying dividends; we are now seeing a balanced/higher female representation when recruiting into entry level roles (50:50 for apprentice and industrial placement recruitment; 60:40 in favour of females when looking at other entry level recruitment which primarily includes our Operational </w:t>
      </w:r>
      <w:r w:rsidR="005A636C" w:rsidRPr="00826E23">
        <w:rPr>
          <w:rFonts w:ascii="Arial" w:hAnsi="Arial" w:cs="Arial"/>
          <w:lang w:val="en-GB"/>
        </w:rPr>
        <w:t>Meteorologists</w:t>
      </w:r>
      <w:r w:rsidRPr="00826E23">
        <w:rPr>
          <w:rFonts w:ascii="Arial" w:hAnsi="Arial" w:cs="Arial"/>
          <w:lang w:val="en-GB"/>
        </w:rPr>
        <w:t xml:space="preserve"> Technician programme and Trainee Operational </w:t>
      </w:r>
      <w:r w:rsidR="005A636C" w:rsidRPr="00826E23">
        <w:rPr>
          <w:rFonts w:ascii="Arial" w:hAnsi="Arial" w:cs="Arial"/>
          <w:lang w:val="en-GB"/>
        </w:rPr>
        <w:t>Meteorologists</w:t>
      </w:r>
      <w:r w:rsidRPr="00826E23">
        <w:rPr>
          <w:rFonts w:ascii="Arial" w:hAnsi="Arial" w:cs="Arial"/>
          <w:lang w:val="en-GB"/>
        </w:rPr>
        <w:t xml:space="preserve"> Programme (OMFC). </w:t>
      </w:r>
    </w:p>
    <w:p w14:paraId="2285F19E" w14:textId="074C05A2" w:rsidR="00D234A4" w:rsidRPr="00826E23" w:rsidRDefault="00D234A4" w:rsidP="00C115D4">
      <w:pPr>
        <w:rPr>
          <w:rFonts w:ascii="Arial" w:hAnsi="Arial" w:cs="Arial"/>
          <w:lang w:val="en-GB"/>
        </w:rPr>
      </w:pPr>
      <w:r w:rsidRPr="00826E23">
        <w:rPr>
          <w:rFonts w:ascii="Arial" w:hAnsi="Arial" w:cs="Arial"/>
          <w:lang w:val="en-GB"/>
        </w:rPr>
        <w:t>Finally, it is extremely pleasing to see trends continuing to narrow the gender pay gap and increase the diversity within the organisation, all contributing towards making us global leaders, both through our expertise and our people.</w:t>
      </w:r>
    </w:p>
    <w:p w14:paraId="3409E869" w14:textId="30D5C465" w:rsidR="00C1299C" w:rsidRPr="00826E23" w:rsidRDefault="00C1299C" w:rsidP="00C115D4">
      <w:pPr>
        <w:rPr>
          <w:rFonts w:ascii="Arial" w:hAnsi="Arial" w:cs="Arial"/>
          <w:lang w:val="en-GB"/>
        </w:rPr>
      </w:pPr>
      <w:r w:rsidRPr="00826E23">
        <w:rPr>
          <w:rFonts w:ascii="Arial" w:hAnsi="Arial" w:cs="Arial"/>
          <w:lang w:val="en-GB"/>
        </w:rPr>
        <w:t>Tammy</w:t>
      </w:r>
      <w:r w:rsidR="000B4E2F" w:rsidRPr="00826E23">
        <w:rPr>
          <w:rFonts w:ascii="Arial" w:hAnsi="Arial" w:cs="Arial"/>
          <w:lang w:val="en-GB"/>
        </w:rPr>
        <w:t xml:space="preserve"> Lillie, Chief People Officer</w:t>
      </w:r>
    </w:p>
    <w:p w14:paraId="35859AD3" w14:textId="1D689E0E" w:rsidR="00954863" w:rsidRPr="00826E23" w:rsidRDefault="00954863">
      <w:pPr>
        <w:rPr>
          <w:rFonts w:ascii="Arial" w:eastAsiaTheme="majorEastAsia" w:hAnsi="Arial" w:cs="Arial"/>
          <w:color w:val="2F5496" w:themeColor="accent1" w:themeShade="BF"/>
          <w:sz w:val="26"/>
          <w:szCs w:val="26"/>
          <w:lang w:val="en-GB"/>
        </w:rPr>
      </w:pPr>
    </w:p>
    <w:p w14:paraId="590D1F0B" w14:textId="77777777" w:rsidR="002D3CCA" w:rsidRPr="00826E23" w:rsidRDefault="002D3CCA">
      <w:pPr>
        <w:rPr>
          <w:rFonts w:ascii="Arial" w:eastAsiaTheme="majorEastAsia" w:hAnsi="Arial" w:cs="Arial"/>
          <w:color w:val="2F5496" w:themeColor="accent1" w:themeShade="BF"/>
          <w:sz w:val="26"/>
          <w:szCs w:val="26"/>
          <w:lang w:val="en-GB"/>
        </w:rPr>
      </w:pPr>
      <w:r w:rsidRPr="00826E23">
        <w:rPr>
          <w:rFonts w:ascii="Arial" w:hAnsi="Arial" w:cs="Arial"/>
          <w:lang w:val="en-GB"/>
        </w:rPr>
        <w:br w:type="page"/>
      </w:r>
    </w:p>
    <w:p w14:paraId="7F55F90F" w14:textId="51843C60" w:rsidR="000B4E2F" w:rsidRPr="00826E23" w:rsidRDefault="00507F3A" w:rsidP="00BA4540">
      <w:pPr>
        <w:pStyle w:val="Heading2"/>
        <w:rPr>
          <w:rFonts w:ascii="Arial" w:hAnsi="Arial" w:cs="Arial"/>
          <w:b/>
          <w:bCs/>
          <w:color w:val="auto"/>
          <w:lang w:val="en-GB"/>
        </w:rPr>
      </w:pPr>
      <w:bookmarkStart w:id="2" w:name="_Toc124787966"/>
      <w:r w:rsidRPr="00826E23">
        <w:rPr>
          <w:rFonts w:ascii="Arial" w:hAnsi="Arial" w:cs="Arial"/>
          <w:b/>
          <w:bCs/>
          <w:color w:val="auto"/>
          <w:lang w:val="en-GB"/>
        </w:rPr>
        <w:lastRenderedPageBreak/>
        <w:t xml:space="preserve">Our purpose </w:t>
      </w:r>
      <w:r w:rsidR="004C1842" w:rsidRPr="00826E23">
        <w:rPr>
          <w:rFonts w:ascii="Arial" w:hAnsi="Arial" w:cs="Arial"/>
          <w:b/>
          <w:bCs/>
          <w:color w:val="auto"/>
          <w:lang w:val="en-GB"/>
        </w:rPr>
        <w:tab/>
        <w:t>Helping you make better decisions</w:t>
      </w:r>
      <w:r w:rsidR="001204BD" w:rsidRPr="00826E23">
        <w:rPr>
          <w:rFonts w:ascii="Arial" w:hAnsi="Arial" w:cs="Arial"/>
          <w:b/>
          <w:bCs/>
          <w:color w:val="auto"/>
          <w:lang w:val="en-GB"/>
        </w:rPr>
        <w:t xml:space="preserve"> to stay safe and thrive</w:t>
      </w:r>
      <w:bookmarkEnd w:id="2"/>
    </w:p>
    <w:p w14:paraId="4D1408D0" w14:textId="290ECB1C" w:rsidR="00895A4C" w:rsidRPr="00895A4C" w:rsidRDefault="00895A4C" w:rsidP="00895A4C">
      <w:pPr>
        <w:spacing w:after="0" w:line="240" w:lineRule="auto"/>
        <w:textAlignment w:val="baseline"/>
        <w:rPr>
          <w:rFonts w:ascii="Arial" w:eastAsia="Times New Roman" w:hAnsi="Arial" w:cs="Arial"/>
          <w:sz w:val="18"/>
          <w:szCs w:val="18"/>
          <w:lang w:val="en-GB" w:eastAsia="en-GB"/>
        </w:rPr>
      </w:pPr>
      <w:r w:rsidRPr="00895A4C">
        <w:rPr>
          <w:rFonts w:ascii="Arial" w:eastAsia="Times New Roman" w:hAnsi="Arial" w:cs="Arial"/>
          <w:lang w:val="en-GB" w:eastAsia="en-GB"/>
        </w:rPr>
        <w:t> </w:t>
      </w:r>
    </w:p>
    <w:p w14:paraId="54F19B67" w14:textId="77777777" w:rsidR="0019699B" w:rsidRPr="00826E23" w:rsidRDefault="00195937" w:rsidP="00895A4C">
      <w:pPr>
        <w:spacing w:after="0" w:line="240" w:lineRule="auto"/>
        <w:textAlignment w:val="baseline"/>
        <w:rPr>
          <w:rFonts w:ascii="Arial" w:hAnsi="Arial" w:cs="Arial"/>
          <w:lang w:val="en-GB"/>
        </w:rPr>
      </w:pPr>
      <w:r w:rsidRPr="00826E23">
        <w:rPr>
          <w:rFonts w:ascii="Arial" w:hAnsi="Arial" w:cs="Arial"/>
          <w:lang w:val="en-GB"/>
        </w:rPr>
        <w:t xml:space="preserve">The Met Office is here to help you make better decisions to stay safe and thrive. That means giving you the best weather and climate information when it matters to you most. It is the ends, not the means, that is most important. We focus on making a difference and delivering greater benefit to you. </w:t>
      </w:r>
    </w:p>
    <w:p w14:paraId="17A9AA7A" w14:textId="77777777" w:rsidR="0019699B" w:rsidRPr="00826E23" w:rsidRDefault="0019699B" w:rsidP="00895A4C">
      <w:pPr>
        <w:spacing w:after="0" w:line="240" w:lineRule="auto"/>
        <w:textAlignment w:val="baseline"/>
        <w:rPr>
          <w:rFonts w:ascii="Arial" w:hAnsi="Arial" w:cs="Arial"/>
          <w:lang w:val="en-GB"/>
        </w:rPr>
      </w:pPr>
    </w:p>
    <w:p w14:paraId="5ED8FC30" w14:textId="5271DB6B" w:rsidR="0019699B" w:rsidRPr="00826E23" w:rsidRDefault="00195937" w:rsidP="00895A4C">
      <w:pPr>
        <w:spacing w:after="0" w:line="240" w:lineRule="auto"/>
        <w:textAlignment w:val="baseline"/>
        <w:rPr>
          <w:rFonts w:ascii="Arial" w:hAnsi="Arial" w:cs="Arial"/>
          <w:lang w:val="en-GB"/>
        </w:rPr>
      </w:pPr>
      <w:r w:rsidRPr="00826E23">
        <w:rPr>
          <w:rFonts w:ascii="Arial" w:hAnsi="Arial" w:cs="Arial"/>
          <w:lang w:val="en-GB"/>
        </w:rPr>
        <w:t xml:space="preserve">We only make an impact when our data, products, science, </w:t>
      </w:r>
      <w:r w:rsidR="005A636C" w:rsidRPr="00826E23">
        <w:rPr>
          <w:rFonts w:ascii="Arial" w:hAnsi="Arial" w:cs="Arial"/>
          <w:lang w:val="en-GB"/>
        </w:rPr>
        <w:t>services,</w:t>
      </w:r>
      <w:r w:rsidRPr="00826E23">
        <w:rPr>
          <w:rFonts w:ascii="Arial" w:hAnsi="Arial" w:cs="Arial"/>
          <w:lang w:val="en-GB"/>
        </w:rPr>
        <w:t xml:space="preserve"> and advice get into the hands of those who use it to shape their lives, and the lives of those around them. </w:t>
      </w:r>
    </w:p>
    <w:p w14:paraId="1C371044" w14:textId="77777777" w:rsidR="0019699B" w:rsidRPr="00826E23" w:rsidRDefault="0019699B" w:rsidP="00895A4C">
      <w:pPr>
        <w:spacing w:after="0" w:line="240" w:lineRule="auto"/>
        <w:textAlignment w:val="baseline"/>
        <w:rPr>
          <w:rFonts w:ascii="Arial" w:hAnsi="Arial" w:cs="Arial"/>
          <w:lang w:val="en-GB"/>
        </w:rPr>
      </w:pPr>
    </w:p>
    <w:p w14:paraId="6C04C6B0" w14:textId="7D48F9BF" w:rsidR="00931DE5" w:rsidRPr="00826E23" w:rsidRDefault="00195937" w:rsidP="00895A4C">
      <w:pPr>
        <w:spacing w:after="0" w:line="240" w:lineRule="auto"/>
        <w:textAlignment w:val="baseline"/>
        <w:rPr>
          <w:rFonts w:ascii="Arial" w:hAnsi="Arial" w:cs="Arial"/>
          <w:lang w:val="en-GB"/>
        </w:rPr>
      </w:pPr>
      <w:r w:rsidRPr="00826E23">
        <w:rPr>
          <w:rFonts w:ascii="Arial" w:hAnsi="Arial" w:cs="Arial"/>
          <w:lang w:val="en-GB"/>
        </w:rPr>
        <w:t xml:space="preserve">We deliver our services through exceptional scientific, </w:t>
      </w:r>
      <w:r w:rsidR="005A636C" w:rsidRPr="00826E23">
        <w:rPr>
          <w:rFonts w:ascii="Arial" w:hAnsi="Arial" w:cs="Arial"/>
          <w:lang w:val="en-GB"/>
        </w:rPr>
        <w:t>technological,</w:t>
      </w:r>
      <w:r w:rsidRPr="00826E23">
        <w:rPr>
          <w:rFonts w:ascii="Arial" w:hAnsi="Arial" w:cs="Arial"/>
          <w:lang w:val="en-GB"/>
        </w:rPr>
        <w:t xml:space="preserve"> and operational expertise. Behind this is a team of excellent people, working with you to deliver extraordinary impact, making us one of the most trusted forecasters in the world. </w:t>
      </w:r>
    </w:p>
    <w:p w14:paraId="5FCFD55C" w14:textId="77777777" w:rsidR="00931DE5" w:rsidRPr="00826E23" w:rsidRDefault="00931DE5" w:rsidP="00895A4C">
      <w:pPr>
        <w:spacing w:after="0" w:line="240" w:lineRule="auto"/>
        <w:textAlignment w:val="baseline"/>
        <w:rPr>
          <w:rFonts w:ascii="Arial" w:hAnsi="Arial" w:cs="Arial"/>
          <w:lang w:val="en-GB"/>
        </w:rPr>
      </w:pPr>
    </w:p>
    <w:p w14:paraId="5A80913D" w14:textId="77777777" w:rsidR="004F0F7D" w:rsidRPr="00826E23" w:rsidRDefault="00195937" w:rsidP="00895A4C">
      <w:pPr>
        <w:spacing w:after="0" w:line="240" w:lineRule="auto"/>
        <w:textAlignment w:val="baseline"/>
        <w:rPr>
          <w:rFonts w:ascii="Arial" w:hAnsi="Arial" w:cs="Arial"/>
          <w:lang w:val="en-GB"/>
        </w:rPr>
      </w:pPr>
      <w:r w:rsidRPr="00826E23">
        <w:rPr>
          <w:rFonts w:ascii="Arial" w:hAnsi="Arial" w:cs="Arial"/>
          <w:lang w:val="en-GB"/>
        </w:rPr>
        <w:t xml:space="preserve">Since our foundation in 1854, the Met Office has pioneered the science of meteorology and its application. To this day, we continue to push the boundaries of science and technology, so that we can meet the demands of today and the future. </w:t>
      </w:r>
    </w:p>
    <w:p w14:paraId="6221099D" w14:textId="77777777" w:rsidR="004F0F7D" w:rsidRPr="00826E23" w:rsidRDefault="004F0F7D" w:rsidP="00895A4C">
      <w:pPr>
        <w:spacing w:after="0" w:line="240" w:lineRule="auto"/>
        <w:textAlignment w:val="baseline"/>
        <w:rPr>
          <w:rFonts w:ascii="Arial" w:hAnsi="Arial" w:cs="Arial"/>
          <w:lang w:val="en-GB"/>
        </w:rPr>
      </w:pPr>
    </w:p>
    <w:p w14:paraId="24E24481" w14:textId="1150C1A1" w:rsidR="00895A4C" w:rsidRPr="00895A4C" w:rsidRDefault="00195937" w:rsidP="00895A4C">
      <w:pPr>
        <w:spacing w:after="0" w:line="240" w:lineRule="auto"/>
        <w:textAlignment w:val="baseline"/>
        <w:rPr>
          <w:rFonts w:ascii="Arial" w:eastAsia="Times New Roman" w:hAnsi="Arial" w:cs="Arial"/>
          <w:sz w:val="18"/>
          <w:szCs w:val="18"/>
          <w:lang w:val="en-GB" w:eastAsia="en-GB"/>
        </w:rPr>
      </w:pPr>
      <w:r w:rsidRPr="00826E23">
        <w:rPr>
          <w:rFonts w:ascii="Arial" w:hAnsi="Arial" w:cs="Arial"/>
          <w:lang w:val="en-GB"/>
        </w:rPr>
        <w:t>We are a key part of the weather and climate community, uniting scientific leaders from every corner of the globe, delivering extraordinary impact and benefit to the world around us.</w:t>
      </w:r>
      <w:r w:rsidR="00895A4C" w:rsidRPr="00895A4C">
        <w:rPr>
          <w:rFonts w:ascii="Arial" w:eastAsia="Times New Roman" w:hAnsi="Arial" w:cs="Arial"/>
          <w:color w:val="666666"/>
          <w:sz w:val="18"/>
          <w:szCs w:val="18"/>
          <w:shd w:val="clear" w:color="auto" w:fill="FFFFFF"/>
          <w:lang w:val="en-GB" w:eastAsia="en-GB"/>
        </w:rPr>
        <w:t> </w:t>
      </w:r>
      <w:r w:rsidR="00895A4C" w:rsidRPr="00895A4C">
        <w:rPr>
          <w:rFonts w:ascii="Arial" w:eastAsia="Times New Roman" w:hAnsi="Arial" w:cs="Arial"/>
          <w:lang w:val="en-GB" w:eastAsia="en-GB"/>
        </w:rPr>
        <w:t> </w:t>
      </w:r>
    </w:p>
    <w:p w14:paraId="51FFC2F9" w14:textId="77777777" w:rsidR="002D3CCA" w:rsidRPr="00826E23" w:rsidRDefault="002D3CCA">
      <w:pPr>
        <w:rPr>
          <w:rFonts w:ascii="Arial" w:eastAsia="Times New Roman" w:hAnsi="Arial" w:cs="Arial"/>
          <w:color w:val="2F5496" w:themeColor="accent1" w:themeShade="BF"/>
          <w:sz w:val="26"/>
          <w:szCs w:val="26"/>
          <w:lang w:val="en-GB" w:eastAsia="en-GB"/>
        </w:rPr>
      </w:pPr>
      <w:r w:rsidRPr="00826E23">
        <w:rPr>
          <w:rFonts w:ascii="Arial" w:eastAsia="Times New Roman" w:hAnsi="Arial" w:cs="Arial"/>
          <w:lang w:val="en-GB" w:eastAsia="en-GB"/>
        </w:rPr>
        <w:br w:type="page"/>
      </w:r>
    </w:p>
    <w:p w14:paraId="176ACC60" w14:textId="676CBF9C" w:rsidR="00895A4C" w:rsidRPr="00826E23" w:rsidRDefault="00895A4C" w:rsidP="00BA4540">
      <w:pPr>
        <w:pStyle w:val="Heading2"/>
        <w:rPr>
          <w:rFonts w:ascii="Arial" w:eastAsia="Times New Roman" w:hAnsi="Arial" w:cs="Arial"/>
          <w:b/>
          <w:bCs/>
          <w:color w:val="auto"/>
          <w:sz w:val="18"/>
          <w:szCs w:val="18"/>
          <w:lang w:val="en-GB" w:eastAsia="en-GB"/>
        </w:rPr>
      </w:pPr>
      <w:bookmarkStart w:id="3" w:name="_Toc124787967"/>
      <w:r w:rsidRPr="00826E23">
        <w:rPr>
          <w:rFonts w:ascii="Arial" w:eastAsia="Times New Roman" w:hAnsi="Arial" w:cs="Arial"/>
          <w:b/>
          <w:bCs/>
          <w:color w:val="auto"/>
          <w:lang w:val="en-GB" w:eastAsia="en-GB"/>
        </w:rPr>
        <w:lastRenderedPageBreak/>
        <w:t>Key Facts</w:t>
      </w:r>
      <w:bookmarkEnd w:id="3"/>
      <w:r w:rsidRPr="00826E23">
        <w:rPr>
          <w:rFonts w:ascii="Arial" w:eastAsia="Times New Roman" w:hAnsi="Arial" w:cs="Arial"/>
          <w:b/>
          <w:bCs/>
          <w:color w:val="auto"/>
          <w:lang w:val="en-GB" w:eastAsia="en-GB"/>
        </w:rPr>
        <w:t> </w:t>
      </w:r>
    </w:p>
    <w:p w14:paraId="6414C10F" w14:textId="77777777" w:rsidR="002D3CCA" w:rsidRPr="00826E23" w:rsidRDefault="002D3CCA" w:rsidP="00895A4C">
      <w:pPr>
        <w:spacing w:after="0" w:line="240" w:lineRule="auto"/>
        <w:textAlignment w:val="baseline"/>
        <w:rPr>
          <w:rFonts w:ascii="Arial" w:eastAsia="Times New Roman" w:hAnsi="Arial" w:cs="Arial"/>
          <w:b/>
          <w:bCs/>
          <w:lang w:val="en-GB" w:eastAsia="en-GB"/>
        </w:rPr>
      </w:pPr>
    </w:p>
    <w:p w14:paraId="772F4B99" w14:textId="35784F13" w:rsidR="00895A4C" w:rsidRPr="00826E23" w:rsidRDefault="00895A4C" w:rsidP="000E680A">
      <w:pPr>
        <w:pStyle w:val="Heading3"/>
        <w:rPr>
          <w:rFonts w:ascii="Arial" w:eastAsia="Times New Roman" w:hAnsi="Arial" w:cs="Arial"/>
          <w:sz w:val="18"/>
          <w:szCs w:val="18"/>
          <w:lang w:val="en-GB" w:eastAsia="en-GB"/>
        </w:rPr>
      </w:pPr>
      <w:bookmarkStart w:id="4" w:name="_Toc124787968"/>
      <w:r w:rsidRPr="00826E23">
        <w:rPr>
          <w:rFonts w:ascii="Arial" w:eastAsia="Times New Roman" w:hAnsi="Arial" w:cs="Arial"/>
          <w:lang w:val="en-GB" w:eastAsia="en-GB"/>
        </w:rPr>
        <w:t>What is the Gender Pay Gap?</w:t>
      </w:r>
      <w:bookmarkEnd w:id="4"/>
      <w:r w:rsidRPr="00826E23">
        <w:rPr>
          <w:rFonts w:ascii="Arial" w:eastAsia="Times New Roman" w:hAnsi="Arial" w:cs="Arial"/>
          <w:lang w:val="en-GB" w:eastAsia="en-GB"/>
        </w:rPr>
        <w:t> </w:t>
      </w:r>
    </w:p>
    <w:p w14:paraId="6B08D450" w14:textId="0B296182" w:rsidR="00717B59" w:rsidRPr="00826E23" w:rsidRDefault="00717B59" w:rsidP="00895A4C">
      <w:pPr>
        <w:spacing w:after="0" w:line="240" w:lineRule="auto"/>
        <w:textAlignment w:val="baseline"/>
        <w:rPr>
          <w:rFonts w:ascii="Arial" w:hAnsi="Arial" w:cs="Arial"/>
          <w:lang w:val="en-GB"/>
        </w:rPr>
      </w:pPr>
      <w:r w:rsidRPr="00826E23">
        <w:rPr>
          <w:rFonts w:ascii="Arial" w:hAnsi="Arial" w:cs="Arial"/>
          <w:lang w:val="en-GB"/>
        </w:rPr>
        <w:t xml:space="preserve">The gender pay gap shows the difference in the average pay between all men and women in a workforce. The gender pay gap is different to equal pay. Equal pay deals with the pay differences between men and women who carry out the same jobs, similar </w:t>
      </w:r>
      <w:r w:rsidR="005A636C" w:rsidRPr="00826E23">
        <w:rPr>
          <w:rFonts w:ascii="Arial" w:hAnsi="Arial" w:cs="Arial"/>
          <w:lang w:val="en-GB"/>
        </w:rPr>
        <w:t>jobs,</w:t>
      </w:r>
      <w:r w:rsidRPr="00826E23">
        <w:rPr>
          <w:rFonts w:ascii="Arial" w:hAnsi="Arial" w:cs="Arial"/>
          <w:lang w:val="en-GB"/>
        </w:rPr>
        <w:t xml:space="preserve"> or work of equal value. It is unlawful to pay people unequally because they are a man or a woman.</w:t>
      </w:r>
    </w:p>
    <w:p w14:paraId="5F264DBF" w14:textId="35784F13" w:rsidR="00717B59" w:rsidRPr="00826E23" w:rsidRDefault="00717B59" w:rsidP="00895A4C">
      <w:pPr>
        <w:spacing w:after="0" w:line="240" w:lineRule="auto"/>
        <w:textAlignment w:val="baseline"/>
        <w:rPr>
          <w:rFonts w:ascii="Arial" w:hAnsi="Arial" w:cs="Arial"/>
          <w:lang w:val="en-GB"/>
        </w:rPr>
      </w:pPr>
    </w:p>
    <w:p w14:paraId="3FE6ECC4" w14:textId="4CC5E671" w:rsidR="00895A4C" w:rsidRPr="00826E23" w:rsidRDefault="00895A4C" w:rsidP="00895A4C">
      <w:pPr>
        <w:spacing w:after="0" w:line="240" w:lineRule="auto"/>
        <w:textAlignment w:val="baseline"/>
        <w:rPr>
          <w:rFonts w:ascii="Arial" w:eastAsia="Times New Roman" w:hAnsi="Arial" w:cs="Arial"/>
          <w:lang w:val="en-GB" w:eastAsia="en-GB"/>
        </w:rPr>
      </w:pPr>
      <w:r w:rsidRPr="00895A4C">
        <w:rPr>
          <w:rFonts w:ascii="Arial" w:eastAsia="Times New Roman" w:hAnsi="Arial" w:cs="Arial"/>
          <w:lang w:val="en-GB" w:eastAsia="en-GB"/>
        </w:rPr>
        <w:t> </w:t>
      </w:r>
    </w:p>
    <w:p w14:paraId="71705A53" w14:textId="21DEFA79" w:rsidR="0068247D" w:rsidRPr="00826E23" w:rsidRDefault="0068247D" w:rsidP="0068247D">
      <w:pPr>
        <w:pStyle w:val="Heading3"/>
        <w:rPr>
          <w:rFonts w:ascii="Arial" w:hAnsi="Arial" w:cs="Arial"/>
          <w:lang w:val="en-GB"/>
        </w:rPr>
      </w:pPr>
      <w:bookmarkStart w:id="5" w:name="_Toc124787969"/>
      <w:r w:rsidRPr="00826E23">
        <w:rPr>
          <w:rFonts w:ascii="Arial" w:hAnsi="Arial" w:cs="Arial"/>
          <w:lang w:val="en-GB"/>
        </w:rPr>
        <w:t>Met Office employees at snapshot date</w:t>
      </w:r>
      <w:bookmarkEnd w:id="5"/>
    </w:p>
    <w:tbl>
      <w:tblPr>
        <w:tblStyle w:val="TableGrid"/>
        <w:tblW w:w="0" w:type="auto"/>
        <w:tblLook w:val="04A0" w:firstRow="1" w:lastRow="0" w:firstColumn="1" w:lastColumn="0" w:noHBand="0" w:noVBand="1"/>
      </w:tblPr>
      <w:tblGrid>
        <w:gridCol w:w="4675"/>
        <w:gridCol w:w="2408"/>
      </w:tblGrid>
      <w:tr w:rsidR="003D60C1" w:rsidRPr="00826E23" w14:paraId="7A384E1C" w14:textId="77777777" w:rsidTr="0062409E">
        <w:tc>
          <w:tcPr>
            <w:tcW w:w="4675" w:type="dxa"/>
          </w:tcPr>
          <w:p w14:paraId="48FBBDB1" w14:textId="1790C87A" w:rsidR="003D60C1" w:rsidRPr="00826E23" w:rsidRDefault="003D60C1" w:rsidP="0068247D">
            <w:pPr>
              <w:rPr>
                <w:rFonts w:ascii="Arial" w:hAnsi="Arial" w:cs="Arial"/>
                <w:b/>
                <w:bCs/>
                <w:lang w:val="en-GB"/>
              </w:rPr>
            </w:pPr>
            <w:r w:rsidRPr="00826E23">
              <w:rPr>
                <w:rFonts w:ascii="Arial" w:hAnsi="Arial" w:cs="Arial"/>
                <w:b/>
                <w:bCs/>
                <w:lang w:val="en-GB"/>
              </w:rPr>
              <w:t>Employees</w:t>
            </w:r>
          </w:p>
        </w:tc>
        <w:tc>
          <w:tcPr>
            <w:tcW w:w="2408" w:type="dxa"/>
          </w:tcPr>
          <w:p w14:paraId="7CA8FE7F" w14:textId="7BD1F0DB" w:rsidR="003D60C1" w:rsidRPr="00826E23" w:rsidRDefault="003D60C1" w:rsidP="0068247D">
            <w:pPr>
              <w:rPr>
                <w:rFonts w:ascii="Arial" w:hAnsi="Arial" w:cs="Arial"/>
                <w:b/>
                <w:bCs/>
                <w:lang w:val="en-GB"/>
              </w:rPr>
            </w:pPr>
            <w:r w:rsidRPr="00826E23">
              <w:rPr>
                <w:rFonts w:ascii="Arial" w:hAnsi="Arial" w:cs="Arial"/>
                <w:b/>
                <w:bCs/>
                <w:lang w:val="en-GB"/>
              </w:rPr>
              <w:t>Total</w:t>
            </w:r>
          </w:p>
        </w:tc>
      </w:tr>
      <w:tr w:rsidR="003D60C1" w:rsidRPr="00826E23" w14:paraId="524DAA90" w14:textId="77777777" w:rsidTr="0062409E">
        <w:tc>
          <w:tcPr>
            <w:tcW w:w="4675" w:type="dxa"/>
          </w:tcPr>
          <w:p w14:paraId="5D1991AA" w14:textId="5A56267C" w:rsidR="003D60C1" w:rsidRPr="00826E23" w:rsidRDefault="003D60C1" w:rsidP="0068247D">
            <w:pPr>
              <w:rPr>
                <w:rFonts w:ascii="Arial" w:hAnsi="Arial" w:cs="Arial"/>
                <w:lang w:val="en-GB"/>
              </w:rPr>
            </w:pPr>
            <w:r w:rsidRPr="00826E23">
              <w:rPr>
                <w:rFonts w:ascii="Arial" w:hAnsi="Arial" w:cs="Arial"/>
                <w:lang w:val="en-GB"/>
              </w:rPr>
              <w:t>All employees</w:t>
            </w:r>
          </w:p>
        </w:tc>
        <w:tc>
          <w:tcPr>
            <w:tcW w:w="2408" w:type="dxa"/>
          </w:tcPr>
          <w:p w14:paraId="38F60C96" w14:textId="5C36D6BE" w:rsidR="003D60C1" w:rsidRPr="00826E23" w:rsidRDefault="003D60C1" w:rsidP="0068247D">
            <w:pPr>
              <w:rPr>
                <w:rFonts w:ascii="Arial" w:hAnsi="Arial" w:cs="Arial"/>
                <w:lang w:val="en-GB"/>
              </w:rPr>
            </w:pPr>
            <w:r w:rsidRPr="00826E23">
              <w:rPr>
                <w:rFonts w:ascii="Arial" w:hAnsi="Arial" w:cs="Arial"/>
                <w:lang w:val="en-GB"/>
              </w:rPr>
              <w:t>2153</w:t>
            </w:r>
          </w:p>
        </w:tc>
      </w:tr>
      <w:tr w:rsidR="003D60C1" w:rsidRPr="00826E23" w14:paraId="778EF5A5" w14:textId="77777777" w:rsidTr="0062409E">
        <w:tc>
          <w:tcPr>
            <w:tcW w:w="4675" w:type="dxa"/>
          </w:tcPr>
          <w:p w14:paraId="08952883" w14:textId="1A8F7DAD" w:rsidR="003D60C1" w:rsidRPr="00826E23" w:rsidRDefault="0062409E" w:rsidP="0068247D">
            <w:pPr>
              <w:rPr>
                <w:rFonts w:ascii="Arial" w:hAnsi="Arial" w:cs="Arial"/>
                <w:lang w:val="en-GB"/>
              </w:rPr>
            </w:pPr>
            <w:r w:rsidRPr="00826E23">
              <w:rPr>
                <w:rFonts w:ascii="Arial" w:hAnsi="Arial" w:cs="Arial"/>
                <w:lang w:val="en-GB"/>
              </w:rPr>
              <w:t>% Women</w:t>
            </w:r>
          </w:p>
        </w:tc>
        <w:tc>
          <w:tcPr>
            <w:tcW w:w="2408" w:type="dxa"/>
          </w:tcPr>
          <w:p w14:paraId="5D3FE708" w14:textId="73047002" w:rsidR="003D60C1" w:rsidRPr="00826E23" w:rsidRDefault="0062409E" w:rsidP="0068247D">
            <w:pPr>
              <w:rPr>
                <w:rFonts w:ascii="Arial" w:hAnsi="Arial" w:cs="Arial"/>
                <w:lang w:val="en-GB"/>
              </w:rPr>
            </w:pPr>
            <w:r w:rsidRPr="00826E23">
              <w:rPr>
                <w:rFonts w:ascii="Arial" w:hAnsi="Arial" w:cs="Arial"/>
                <w:lang w:val="en-GB"/>
              </w:rPr>
              <w:t>38%</w:t>
            </w:r>
          </w:p>
        </w:tc>
      </w:tr>
      <w:tr w:rsidR="0062409E" w:rsidRPr="00826E23" w14:paraId="384604EA" w14:textId="77777777" w:rsidTr="0062409E">
        <w:tc>
          <w:tcPr>
            <w:tcW w:w="4675" w:type="dxa"/>
          </w:tcPr>
          <w:p w14:paraId="328787AF" w14:textId="1ED21D8B" w:rsidR="0062409E" w:rsidRPr="00826E23" w:rsidRDefault="0062409E" w:rsidP="0068247D">
            <w:pPr>
              <w:rPr>
                <w:rFonts w:ascii="Arial" w:hAnsi="Arial" w:cs="Arial"/>
                <w:lang w:val="en-GB"/>
              </w:rPr>
            </w:pPr>
            <w:r w:rsidRPr="00826E23">
              <w:rPr>
                <w:rFonts w:ascii="Arial" w:hAnsi="Arial" w:cs="Arial"/>
                <w:lang w:val="en-GB"/>
              </w:rPr>
              <w:t>% Men</w:t>
            </w:r>
          </w:p>
        </w:tc>
        <w:tc>
          <w:tcPr>
            <w:tcW w:w="2408" w:type="dxa"/>
          </w:tcPr>
          <w:p w14:paraId="146D1832" w14:textId="709A7AE8" w:rsidR="0062409E" w:rsidRPr="00826E23" w:rsidRDefault="0062409E" w:rsidP="0068247D">
            <w:pPr>
              <w:rPr>
                <w:rFonts w:ascii="Arial" w:hAnsi="Arial" w:cs="Arial"/>
                <w:lang w:val="en-GB"/>
              </w:rPr>
            </w:pPr>
            <w:r w:rsidRPr="00826E23">
              <w:rPr>
                <w:rFonts w:ascii="Arial" w:hAnsi="Arial" w:cs="Arial"/>
                <w:lang w:val="en-GB"/>
              </w:rPr>
              <w:t>62%</w:t>
            </w:r>
          </w:p>
        </w:tc>
      </w:tr>
    </w:tbl>
    <w:p w14:paraId="502448AE" w14:textId="77777777" w:rsidR="0062409E" w:rsidRPr="00826E23" w:rsidRDefault="0062409E" w:rsidP="00895A4C">
      <w:pPr>
        <w:spacing w:after="0" w:line="240" w:lineRule="auto"/>
        <w:textAlignment w:val="baseline"/>
        <w:rPr>
          <w:rFonts w:ascii="Arial" w:eastAsia="Times New Roman" w:hAnsi="Arial" w:cs="Arial"/>
          <w:lang w:val="en-GB" w:eastAsia="en-GB"/>
        </w:rPr>
      </w:pPr>
    </w:p>
    <w:p w14:paraId="2CEE666E" w14:textId="40E05C00" w:rsidR="0062409E" w:rsidRPr="00826E23" w:rsidRDefault="008665DB" w:rsidP="008665DB">
      <w:pPr>
        <w:pStyle w:val="Heading3"/>
        <w:rPr>
          <w:rFonts w:ascii="Arial" w:eastAsia="Times New Roman" w:hAnsi="Arial" w:cs="Arial"/>
          <w:lang w:val="en-GB" w:eastAsia="en-GB"/>
        </w:rPr>
      </w:pPr>
      <w:bookmarkStart w:id="6" w:name="_Toc124787970"/>
      <w:r w:rsidRPr="00826E23">
        <w:rPr>
          <w:rFonts w:ascii="Arial" w:eastAsia="Times New Roman" w:hAnsi="Arial" w:cs="Arial"/>
          <w:lang w:val="en-GB" w:eastAsia="en-GB"/>
        </w:rPr>
        <w:t>Statutory Measure</w:t>
      </w:r>
      <w:bookmarkEnd w:id="6"/>
    </w:p>
    <w:p w14:paraId="6AE9DE48" w14:textId="77777777" w:rsidR="008665DB" w:rsidRPr="00826E23" w:rsidRDefault="008665DB" w:rsidP="008665DB">
      <w:pPr>
        <w:rPr>
          <w:rFonts w:ascii="Arial" w:hAnsi="Arial" w:cs="Arial"/>
          <w:lang w:val="en-GB" w:eastAsia="en-GB"/>
        </w:rPr>
      </w:pPr>
    </w:p>
    <w:tbl>
      <w:tblPr>
        <w:tblStyle w:val="TableGrid"/>
        <w:tblW w:w="0" w:type="auto"/>
        <w:tblLook w:val="04A0" w:firstRow="1" w:lastRow="0" w:firstColumn="1" w:lastColumn="0" w:noHBand="0" w:noVBand="1"/>
      </w:tblPr>
      <w:tblGrid>
        <w:gridCol w:w="4675"/>
        <w:gridCol w:w="2408"/>
      </w:tblGrid>
      <w:tr w:rsidR="00B45F37" w:rsidRPr="00826E23" w14:paraId="3080DEC0" w14:textId="77777777" w:rsidTr="00B45F37">
        <w:tc>
          <w:tcPr>
            <w:tcW w:w="4675" w:type="dxa"/>
          </w:tcPr>
          <w:p w14:paraId="2D663A2B" w14:textId="35135345" w:rsidR="006C1DC8" w:rsidRPr="00826E23" w:rsidRDefault="00F84B18" w:rsidP="008665DB">
            <w:pPr>
              <w:rPr>
                <w:rFonts w:ascii="Arial" w:hAnsi="Arial" w:cs="Arial"/>
                <w:b/>
                <w:bCs/>
                <w:lang w:val="en-GB" w:eastAsia="en-GB"/>
              </w:rPr>
            </w:pPr>
            <w:r w:rsidRPr="00826E23">
              <w:rPr>
                <w:rFonts w:ascii="Arial" w:hAnsi="Arial" w:cs="Arial"/>
                <w:b/>
                <w:bCs/>
                <w:lang w:val="en-GB" w:eastAsia="en-GB"/>
              </w:rPr>
              <w:t xml:space="preserve">Gender Pay </w:t>
            </w:r>
            <w:r w:rsidR="006C1DC8" w:rsidRPr="00826E23">
              <w:rPr>
                <w:rFonts w:ascii="Arial" w:hAnsi="Arial" w:cs="Arial"/>
                <w:b/>
                <w:bCs/>
                <w:lang w:val="en-GB" w:eastAsia="en-GB"/>
              </w:rPr>
              <w:t>and Bonus Gap</w:t>
            </w:r>
          </w:p>
        </w:tc>
        <w:tc>
          <w:tcPr>
            <w:tcW w:w="2408" w:type="dxa"/>
          </w:tcPr>
          <w:p w14:paraId="45D2512C" w14:textId="3218D505" w:rsidR="00B45F37" w:rsidRPr="00826E23" w:rsidRDefault="00A94192" w:rsidP="008665DB">
            <w:pPr>
              <w:rPr>
                <w:rFonts w:ascii="Arial" w:hAnsi="Arial" w:cs="Arial"/>
                <w:b/>
                <w:bCs/>
                <w:lang w:val="en-GB" w:eastAsia="en-GB"/>
              </w:rPr>
            </w:pPr>
            <w:r w:rsidRPr="00826E23">
              <w:rPr>
                <w:rFonts w:ascii="Arial" w:hAnsi="Arial" w:cs="Arial"/>
                <w:b/>
                <w:bCs/>
                <w:lang w:val="en-GB" w:eastAsia="en-GB"/>
              </w:rPr>
              <w:t>2022</w:t>
            </w:r>
          </w:p>
        </w:tc>
      </w:tr>
      <w:tr w:rsidR="00B45F37" w:rsidRPr="00826E23" w14:paraId="7F631D84" w14:textId="77777777" w:rsidTr="00B45F37">
        <w:tc>
          <w:tcPr>
            <w:tcW w:w="4675" w:type="dxa"/>
          </w:tcPr>
          <w:p w14:paraId="5AEE3674" w14:textId="35F2AFA2" w:rsidR="00B45F37" w:rsidRPr="00826E23" w:rsidRDefault="00A94192" w:rsidP="008665DB">
            <w:pPr>
              <w:rPr>
                <w:rFonts w:ascii="Arial" w:hAnsi="Arial" w:cs="Arial"/>
                <w:lang w:val="en-GB" w:eastAsia="en-GB"/>
              </w:rPr>
            </w:pPr>
            <w:r w:rsidRPr="00826E23">
              <w:rPr>
                <w:rFonts w:ascii="Arial" w:hAnsi="Arial" w:cs="Arial"/>
                <w:lang w:val="en-GB" w:eastAsia="en-GB"/>
              </w:rPr>
              <w:t>Mean Pay Gap</w:t>
            </w:r>
          </w:p>
        </w:tc>
        <w:tc>
          <w:tcPr>
            <w:tcW w:w="2408" w:type="dxa"/>
          </w:tcPr>
          <w:p w14:paraId="7FABDDA6" w14:textId="5B8209AF" w:rsidR="00B45F37" w:rsidRPr="00826E23" w:rsidRDefault="000B3DEB" w:rsidP="008665DB">
            <w:pPr>
              <w:rPr>
                <w:rFonts w:ascii="Arial" w:hAnsi="Arial" w:cs="Arial"/>
                <w:lang w:val="en-GB" w:eastAsia="en-GB"/>
              </w:rPr>
            </w:pPr>
            <w:r w:rsidRPr="00826E23">
              <w:rPr>
                <w:rFonts w:ascii="Arial" w:hAnsi="Arial" w:cs="Arial"/>
                <w:lang w:val="en-GB" w:eastAsia="en-GB"/>
              </w:rPr>
              <w:t>5.6%</w:t>
            </w:r>
          </w:p>
        </w:tc>
      </w:tr>
      <w:tr w:rsidR="00B45F37" w:rsidRPr="00826E23" w14:paraId="7847C474" w14:textId="77777777" w:rsidTr="00B45F37">
        <w:tc>
          <w:tcPr>
            <w:tcW w:w="4675" w:type="dxa"/>
          </w:tcPr>
          <w:p w14:paraId="187046AB" w14:textId="510212B6" w:rsidR="00B45F37" w:rsidRPr="00826E23" w:rsidRDefault="00A94192" w:rsidP="008665DB">
            <w:pPr>
              <w:rPr>
                <w:rFonts w:ascii="Arial" w:hAnsi="Arial" w:cs="Arial"/>
                <w:lang w:val="en-GB" w:eastAsia="en-GB"/>
              </w:rPr>
            </w:pPr>
            <w:r w:rsidRPr="00826E23">
              <w:rPr>
                <w:rFonts w:ascii="Arial" w:hAnsi="Arial" w:cs="Arial"/>
                <w:lang w:val="en-GB" w:eastAsia="en-GB"/>
              </w:rPr>
              <w:t>Median Pay Gap</w:t>
            </w:r>
          </w:p>
        </w:tc>
        <w:tc>
          <w:tcPr>
            <w:tcW w:w="2408" w:type="dxa"/>
          </w:tcPr>
          <w:p w14:paraId="2653CF63" w14:textId="7B720C36" w:rsidR="00B45F37" w:rsidRPr="00826E23" w:rsidRDefault="000B3DEB" w:rsidP="008665DB">
            <w:pPr>
              <w:rPr>
                <w:rFonts w:ascii="Arial" w:hAnsi="Arial" w:cs="Arial"/>
                <w:lang w:val="en-GB" w:eastAsia="en-GB"/>
              </w:rPr>
            </w:pPr>
            <w:r w:rsidRPr="00826E23">
              <w:rPr>
                <w:rFonts w:ascii="Arial" w:hAnsi="Arial" w:cs="Arial"/>
                <w:lang w:val="en-GB" w:eastAsia="en-GB"/>
              </w:rPr>
              <w:t>4.1%</w:t>
            </w:r>
          </w:p>
        </w:tc>
      </w:tr>
      <w:tr w:rsidR="000B3DEB" w:rsidRPr="00826E23" w14:paraId="304D46B5" w14:textId="77777777" w:rsidTr="00B45F37">
        <w:tc>
          <w:tcPr>
            <w:tcW w:w="4675" w:type="dxa"/>
          </w:tcPr>
          <w:p w14:paraId="17BBB426" w14:textId="74C448A7" w:rsidR="000B3DEB" w:rsidRPr="00826E23" w:rsidRDefault="009C3FD2" w:rsidP="008665DB">
            <w:pPr>
              <w:rPr>
                <w:rFonts w:ascii="Arial" w:hAnsi="Arial" w:cs="Arial"/>
                <w:lang w:val="en-GB" w:eastAsia="en-GB"/>
              </w:rPr>
            </w:pPr>
            <w:r w:rsidRPr="00826E23">
              <w:rPr>
                <w:rFonts w:ascii="Arial" w:hAnsi="Arial" w:cs="Arial"/>
                <w:lang w:val="en-GB" w:eastAsia="en-GB"/>
              </w:rPr>
              <w:t>Mean Bonus Gap</w:t>
            </w:r>
          </w:p>
        </w:tc>
        <w:tc>
          <w:tcPr>
            <w:tcW w:w="2408" w:type="dxa"/>
          </w:tcPr>
          <w:p w14:paraId="16FAD86B" w14:textId="46E4E189" w:rsidR="000B3DEB" w:rsidRPr="00826E23" w:rsidRDefault="000026A8" w:rsidP="008665DB">
            <w:pPr>
              <w:rPr>
                <w:rFonts w:ascii="Arial" w:hAnsi="Arial" w:cs="Arial"/>
                <w:lang w:val="en-GB" w:eastAsia="en-GB"/>
              </w:rPr>
            </w:pPr>
            <w:r w:rsidRPr="00826E23">
              <w:rPr>
                <w:rFonts w:ascii="Arial" w:hAnsi="Arial" w:cs="Arial"/>
                <w:lang w:val="en-GB" w:eastAsia="en-GB"/>
              </w:rPr>
              <w:t>2.5%</w:t>
            </w:r>
          </w:p>
        </w:tc>
      </w:tr>
      <w:tr w:rsidR="000B3DEB" w:rsidRPr="00826E23" w14:paraId="3EA2CF7A" w14:textId="77777777" w:rsidTr="00B45F37">
        <w:tc>
          <w:tcPr>
            <w:tcW w:w="4675" w:type="dxa"/>
          </w:tcPr>
          <w:p w14:paraId="11F88B05" w14:textId="34ABCAB9" w:rsidR="000B3DEB" w:rsidRPr="00826E23" w:rsidRDefault="009C3FD2" w:rsidP="008665DB">
            <w:pPr>
              <w:rPr>
                <w:rFonts w:ascii="Arial" w:hAnsi="Arial" w:cs="Arial"/>
                <w:lang w:val="en-GB" w:eastAsia="en-GB"/>
              </w:rPr>
            </w:pPr>
            <w:r w:rsidRPr="00826E23">
              <w:rPr>
                <w:rFonts w:ascii="Arial" w:hAnsi="Arial" w:cs="Arial"/>
                <w:lang w:val="en-GB" w:eastAsia="en-GB"/>
              </w:rPr>
              <w:t>Median Bonus Gap</w:t>
            </w:r>
          </w:p>
        </w:tc>
        <w:tc>
          <w:tcPr>
            <w:tcW w:w="2408" w:type="dxa"/>
          </w:tcPr>
          <w:p w14:paraId="06F9F7C4" w14:textId="3AA65EB2" w:rsidR="000B3DEB" w:rsidRPr="00826E23" w:rsidRDefault="00324E4C" w:rsidP="008665DB">
            <w:pPr>
              <w:rPr>
                <w:rFonts w:ascii="Arial" w:hAnsi="Arial" w:cs="Arial"/>
                <w:lang w:val="en-GB" w:eastAsia="en-GB"/>
              </w:rPr>
            </w:pPr>
            <w:r w:rsidRPr="00826E23">
              <w:rPr>
                <w:rFonts w:ascii="Arial" w:hAnsi="Arial" w:cs="Arial"/>
                <w:lang w:val="en-GB" w:eastAsia="en-GB"/>
              </w:rPr>
              <w:t>-0.5%</w:t>
            </w:r>
          </w:p>
        </w:tc>
      </w:tr>
    </w:tbl>
    <w:p w14:paraId="6DDBE7D3" w14:textId="77777777" w:rsidR="00B45F37" w:rsidRPr="00826E23" w:rsidRDefault="00B45F37" w:rsidP="008665DB">
      <w:pPr>
        <w:rPr>
          <w:rFonts w:ascii="Arial" w:hAnsi="Arial" w:cs="Arial"/>
          <w:lang w:val="en-GB" w:eastAsia="en-GB"/>
        </w:rPr>
      </w:pPr>
    </w:p>
    <w:tbl>
      <w:tblPr>
        <w:tblStyle w:val="TableGrid"/>
        <w:tblW w:w="0" w:type="auto"/>
        <w:tblLook w:val="04A0" w:firstRow="1" w:lastRow="0" w:firstColumn="1" w:lastColumn="0" w:noHBand="0" w:noVBand="1"/>
      </w:tblPr>
      <w:tblGrid>
        <w:gridCol w:w="4675"/>
        <w:gridCol w:w="2408"/>
      </w:tblGrid>
      <w:tr w:rsidR="004A479B" w:rsidRPr="00826E23" w14:paraId="6989ED16" w14:textId="77777777" w:rsidTr="004A479B">
        <w:tc>
          <w:tcPr>
            <w:tcW w:w="4675" w:type="dxa"/>
          </w:tcPr>
          <w:p w14:paraId="650416AA" w14:textId="09AB24E3" w:rsidR="004A479B" w:rsidRPr="00826E23" w:rsidRDefault="00211669" w:rsidP="00895A4C">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Proportion of Men and Women civil servants receiving a bonus (in year)</w:t>
            </w:r>
          </w:p>
        </w:tc>
        <w:tc>
          <w:tcPr>
            <w:tcW w:w="2408" w:type="dxa"/>
          </w:tcPr>
          <w:p w14:paraId="68E663A7" w14:textId="28348A80" w:rsidR="004A479B" w:rsidRPr="00826E23" w:rsidRDefault="006C590E" w:rsidP="00895A4C">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w:t>
            </w:r>
            <w:r w:rsidR="00550D80" w:rsidRPr="00826E23">
              <w:rPr>
                <w:rFonts w:ascii="Arial" w:eastAsia="Times New Roman" w:hAnsi="Arial" w:cs="Arial"/>
                <w:b/>
                <w:bCs/>
                <w:lang w:val="en-GB" w:eastAsia="en-GB"/>
              </w:rPr>
              <w:t xml:space="preserve"> of employees</w:t>
            </w:r>
          </w:p>
        </w:tc>
      </w:tr>
      <w:tr w:rsidR="004A479B" w:rsidRPr="00826E23" w14:paraId="043C3B9D" w14:textId="77777777" w:rsidTr="004A479B">
        <w:tc>
          <w:tcPr>
            <w:tcW w:w="4675" w:type="dxa"/>
          </w:tcPr>
          <w:p w14:paraId="6B5942A6" w14:textId="06176B8A" w:rsidR="004A479B" w:rsidRPr="00826E23" w:rsidRDefault="00211669"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Men</w:t>
            </w:r>
          </w:p>
        </w:tc>
        <w:tc>
          <w:tcPr>
            <w:tcW w:w="2408" w:type="dxa"/>
          </w:tcPr>
          <w:p w14:paraId="5A5EDC74" w14:textId="20203739" w:rsidR="004A479B" w:rsidRPr="00826E23" w:rsidRDefault="006C590E"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96.0%</w:t>
            </w:r>
          </w:p>
        </w:tc>
      </w:tr>
      <w:tr w:rsidR="004A479B" w:rsidRPr="00826E23" w14:paraId="029130A2" w14:textId="77777777" w:rsidTr="004A479B">
        <w:tc>
          <w:tcPr>
            <w:tcW w:w="4675" w:type="dxa"/>
          </w:tcPr>
          <w:p w14:paraId="15C7B7FA" w14:textId="02362F39" w:rsidR="004A479B" w:rsidRPr="00826E23" w:rsidRDefault="006C590E"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Women</w:t>
            </w:r>
          </w:p>
        </w:tc>
        <w:tc>
          <w:tcPr>
            <w:tcW w:w="2408" w:type="dxa"/>
          </w:tcPr>
          <w:p w14:paraId="29E99F4E" w14:textId="530975E5" w:rsidR="004A479B" w:rsidRPr="00826E23" w:rsidRDefault="006C590E"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96.2%</w:t>
            </w:r>
          </w:p>
        </w:tc>
      </w:tr>
    </w:tbl>
    <w:p w14:paraId="310D4B3C" w14:textId="77777777" w:rsidR="0062409E" w:rsidRPr="00826E23" w:rsidRDefault="0062409E" w:rsidP="00895A4C">
      <w:pPr>
        <w:spacing w:after="0" w:line="240" w:lineRule="auto"/>
        <w:textAlignment w:val="baseline"/>
        <w:rPr>
          <w:rFonts w:ascii="Arial" w:eastAsia="Times New Roman" w:hAnsi="Arial" w:cs="Arial"/>
          <w:lang w:val="en-GB" w:eastAsia="en-GB"/>
        </w:rPr>
      </w:pPr>
    </w:p>
    <w:tbl>
      <w:tblPr>
        <w:tblStyle w:val="TableGrid"/>
        <w:tblW w:w="0" w:type="auto"/>
        <w:tblLook w:val="04A0" w:firstRow="1" w:lastRow="0" w:firstColumn="1" w:lastColumn="0" w:noHBand="0" w:noVBand="1"/>
      </w:tblPr>
      <w:tblGrid>
        <w:gridCol w:w="2972"/>
        <w:gridCol w:w="1418"/>
        <w:gridCol w:w="1417"/>
        <w:gridCol w:w="1276"/>
      </w:tblGrid>
      <w:tr w:rsidR="007B79F2" w:rsidRPr="00826E23" w14:paraId="219D0613" w14:textId="23B830DE" w:rsidTr="00550D80">
        <w:tc>
          <w:tcPr>
            <w:tcW w:w="2972" w:type="dxa"/>
          </w:tcPr>
          <w:p w14:paraId="08E368EE" w14:textId="636E3DEE" w:rsidR="007B79F2" w:rsidRPr="00826E23" w:rsidRDefault="007B79F2" w:rsidP="00895A4C">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Pay Quartiles</w:t>
            </w:r>
          </w:p>
        </w:tc>
        <w:tc>
          <w:tcPr>
            <w:tcW w:w="1418" w:type="dxa"/>
          </w:tcPr>
          <w:p w14:paraId="173D3167" w14:textId="6ECC39BC" w:rsidR="007B79F2" w:rsidRPr="00826E23" w:rsidRDefault="007B79F2" w:rsidP="00895A4C">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Women</w:t>
            </w:r>
          </w:p>
        </w:tc>
        <w:tc>
          <w:tcPr>
            <w:tcW w:w="1417" w:type="dxa"/>
          </w:tcPr>
          <w:p w14:paraId="40342557" w14:textId="62CAF8B1" w:rsidR="007B79F2" w:rsidRPr="00826E23" w:rsidRDefault="007B79F2" w:rsidP="00895A4C">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Men</w:t>
            </w:r>
          </w:p>
        </w:tc>
        <w:tc>
          <w:tcPr>
            <w:tcW w:w="1276" w:type="dxa"/>
          </w:tcPr>
          <w:p w14:paraId="6C377A1B" w14:textId="04C89090" w:rsidR="007B79F2" w:rsidRPr="00826E23" w:rsidRDefault="00550D80" w:rsidP="00895A4C">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T</w:t>
            </w:r>
            <w:r w:rsidR="007B79F2" w:rsidRPr="00826E23">
              <w:rPr>
                <w:rFonts w:ascii="Arial" w:eastAsia="Times New Roman" w:hAnsi="Arial" w:cs="Arial"/>
                <w:b/>
                <w:bCs/>
                <w:lang w:val="en-GB" w:eastAsia="en-GB"/>
              </w:rPr>
              <w:t>otal</w:t>
            </w:r>
          </w:p>
        </w:tc>
      </w:tr>
      <w:tr w:rsidR="007B79F2" w:rsidRPr="00826E23" w14:paraId="5FA48F17" w14:textId="268C34A2" w:rsidTr="00550D80">
        <w:tc>
          <w:tcPr>
            <w:tcW w:w="2972" w:type="dxa"/>
          </w:tcPr>
          <w:p w14:paraId="1FFECF96" w14:textId="41F577A5" w:rsidR="007B79F2" w:rsidRPr="00826E23" w:rsidRDefault="007B79F2"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Lowest salary</w:t>
            </w:r>
          </w:p>
        </w:tc>
        <w:tc>
          <w:tcPr>
            <w:tcW w:w="1418" w:type="dxa"/>
          </w:tcPr>
          <w:p w14:paraId="0D6E6850" w14:textId="13F18DAF" w:rsidR="007B79F2" w:rsidRPr="00826E23" w:rsidRDefault="00461E4C"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45.0%</w:t>
            </w:r>
          </w:p>
        </w:tc>
        <w:tc>
          <w:tcPr>
            <w:tcW w:w="1417" w:type="dxa"/>
          </w:tcPr>
          <w:p w14:paraId="129343B1" w14:textId="7279D1AC" w:rsidR="007B79F2" w:rsidRPr="00826E23" w:rsidRDefault="00C54911"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55.0%</w:t>
            </w:r>
          </w:p>
        </w:tc>
        <w:tc>
          <w:tcPr>
            <w:tcW w:w="1276" w:type="dxa"/>
          </w:tcPr>
          <w:p w14:paraId="6BCBED29" w14:textId="32892FEB" w:rsidR="007B79F2" w:rsidRPr="00826E23" w:rsidRDefault="00550D80"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100%</w:t>
            </w:r>
          </w:p>
        </w:tc>
      </w:tr>
      <w:tr w:rsidR="007B79F2" w:rsidRPr="00826E23" w14:paraId="6507B354" w14:textId="731C3B63" w:rsidTr="00550D80">
        <w:tc>
          <w:tcPr>
            <w:tcW w:w="2972" w:type="dxa"/>
          </w:tcPr>
          <w:p w14:paraId="471250E1" w14:textId="460BB619" w:rsidR="007B79F2" w:rsidRPr="00826E23" w:rsidRDefault="007B79F2"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Lower-middle salary</w:t>
            </w:r>
          </w:p>
        </w:tc>
        <w:tc>
          <w:tcPr>
            <w:tcW w:w="1418" w:type="dxa"/>
          </w:tcPr>
          <w:p w14:paraId="24B59451" w14:textId="70093D24" w:rsidR="007B79F2" w:rsidRPr="00826E23" w:rsidRDefault="00461E4C"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40.1%</w:t>
            </w:r>
          </w:p>
        </w:tc>
        <w:tc>
          <w:tcPr>
            <w:tcW w:w="1417" w:type="dxa"/>
          </w:tcPr>
          <w:p w14:paraId="3F7D16EA" w14:textId="2953FC4A" w:rsidR="007B79F2" w:rsidRPr="00826E23" w:rsidRDefault="00A06FFD"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59.9%</w:t>
            </w:r>
          </w:p>
        </w:tc>
        <w:tc>
          <w:tcPr>
            <w:tcW w:w="1276" w:type="dxa"/>
          </w:tcPr>
          <w:p w14:paraId="1D1F3057" w14:textId="38502CCE" w:rsidR="007B79F2" w:rsidRPr="00826E23" w:rsidRDefault="00550D80" w:rsidP="00895A4C">
            <w:pPr>
              <w:textAlignment w:val="baseline"/>
              <w:rPr>
                <w:rFonts w:ascii="Arial" w:eastAsia="Times New Roman" w:hAnsi="Arial" w:cs="Arial"/>
                <w:lang w:val="en-GB" w:eastAsia="en-GB"/>
              </w:rPr>
            </w:pPr>
            <w:r w:rsidRPr="00826E23">
              <w:rPr>
                <w:rFonts w:ascii="Arial" w:eastAsia="Times New Roman" w:hAnsi="Arial" w:cs="Arial"/>
                <w:lang w:val="en-GB" w:eastAsia="en-GB"/>
              </w:rPr>
              <w:t>100%</w:t>
            </w:r>
          </w:p>
        </w:tc>
      </w:tr>
      <w:tr w:rsidR="00550D80" w:rsidRPr="00826E23" w14:paraId="73EADC49" w14:textId="35AB7EF6" w:rsidTr="00550D80">
        <w:tc>
          <w:tcPr>
            <w:tcW w:w="2972" w:type="dxa"/>
          </w:tcPr>
          <w:p w14:paraId="7377776D" w14:textId="734296AA" w:rsidR="00550D80" w:rsidRPr="00826E23" w:rsidRDefault="00550D80" w:rsidP="00550D80">
            <w:pPr>
              <w:textAlignment w:val="baseline"/>
              <w:rPr>
                <w:rFonts w:ascii="Arial" w:eastAsia="Times New Roman" w:hAnsi="Arial" w:cs="Arial"/>
                <w:lang w:val="en-GB" w:eastAsia="en-GB"/>
              </w:rPr>
            </w:pPr>
            <w:r w:rsidRPr="00826E23">
              <w:rPr>
                <w:rFonts w:ascii="Arial" w:eastAsia="Times New Roman" w:hAnsi="Arial" w:cs="Arial"/>
                <w:lang w:val="en-GB" w:eastAsia="en-GB"/>
              </w:rPr>
              <w:t>Higher-middle salary</w:t>
            </w:r>
          </w:p>
        </w:tc>
        <w:tc>
          <w:tcPr>
            <w:tcW w:w="1418" w:type="dxa"/>
          </w:tcPr>
          <w:p w14:paraId="492D8F9A" w14:textId="686264F6" w:rsidR="00550D80" w:rsidRPr="00826E23" w:rsidRDefault="00550D80" w:rsidP="00550D80">
            <w:pPr>
              <w:textAlignment w:val="baseline"/>
              <w:rPr>
                <w:rFonts w:ascii="Arial" w:eastAsia="Times New Roman" w:hAnsi="Arial" w:cs="Arial"/>
                <w:lang w:val="en-GB" w:eastAsia="en-GB"/>
              </w:rPr>
            </w:pPr>
            <w:r w:rsidRPr="00826E23">
              <w:rPr>
                <w:rFonts w:ascii="Arial" w:eastAsia="Times New Roman" w:hAnsi="Arial" w:cs="Arial"/>
                <w:lang w:val="en-GB" w:eastAsia="en-GB"/>
              </w:rPr>
              <w:t>35.3%</w:t>
            </w:r>
          </w:p>
        </w:tc>
        <w:tc>
          <w:tcPr>
            <w:tcW w:w="1417" w:type="dxa"/>
          </w:tcPr>
          <w:p w14:paraId="5C90263E" w14:textId="6EE117CE" w:rsidR="00550D80" w:rsidRPr="00826E23" w:rsidRDefault="00550D80" w:rsidP="00550D80">
            <w:pPr>
              <w:textAlignment w:val="baseline"/>
              <w:rPr>
                <w:rFonts w:ascii="Arial" w:eastAsia="Times New Roman" w:hAnsi="Arial" w:cs="Arial"/>
                <w:lang w:val="en-GB" w:eastAsia="en-GB"/>
              </w:rPr>
            </w:pPr>
            <w:r w:rsidRPr="00826E23">
              <w:rPr>
                <w:rFonts w:ascii="Arial" w:eastAsia="Times New Roman" w:hAnsi="Arial" w:cs="Arial"/>
                <w:lang w:val="en-GB" w:eastAsia="en-GB"/>
              </w:rPr>
              <w:t>64.7%</w:t>
            </w:r>
          </w:p>
        </w:tc>
        <w:tc>
          <w:tcPr>
            <w:tcW w:w="1276" w:type="dxa"/>
          </w:tcPr>
          <w:p w14:paraId="0F328381" w14:textId="74F197C7" w:rsidR="00550D80" w:rsidRPr="00826E23" w:rsidRDefault="00550D80" w:rsidP="00550D80">
            <w:pPr>
              <w:textAlignment w:val="baseline"/>
              <w:rPr>
                <w:rFonts w:ascii="Arial" w:eastAsia="Times New Roman" w:hAnsi="Arial" w:cs="Arial"/>
                <w:lang w:val="en-GB" w:eastAsia="en-GB"/>
              </w:rPr>
            </w:pPr>
            <w:r w:rsidRPr="00826E23">
              <w:rPr>
                <w:rFonts w:ascii="Arial" w:eastAsia="Times New Roman" w:hAnsi="Arial" w:cs="Arial"/>
                <w:lang w:val="en-GB" w:eastAsia="en-GB"/>
              </w:rPr>
              <w:t>100%</w:t>
            </w:r>
          </w:p>
        </w:tc>
      </w:tr>
      <w:tr w:rsidR="00550D80" w:rsidRPr="00826E23" w14:paraId="4DD55010" w14:textId="57B466AB" w:rsidTr="00550D80">
        <w:tc>
          <w:tcPr>
            <w:tcW w:w="2972" w:type="dxa"/>
          </w:tcPr>
          <w:p w14:paraId="1D72D629" w14:textId="2BB0E8DC" w:rsidR="00550D80" w:rsidRPr="00826E23" w:rsidRDefault="00550D80" w:rsidP="00550D80">
            <w:pPr>
              <w:textAlignment w:val="baseline"/>
              <w:rPr>
                <w:rFonts w:ascii="Arial" w:eastAsia="Times New Roman" w:hAnsi="Arial" w:cs="Arial"/>
                <w:lang w:val="en-GB" w:eastAsia="en-GB"/>
              </w:rPr>
            </w:pPr>
            <w:r w:rsidRPr="00826E23">
              <w:rPr>
                <w:rFonts w:ascii="Arial" w:eastAsia="Times New Roman" w:hAnsi="Arial" w:cs="Arial"/>
                <w:lang w:val="en-GB" w:eastAsia="en-GB"/>
              </w:rPr>
              <w:t>Highest salary</w:t>
            </w:r>
          </w:p>
        </w:tc>
        <w:tc>
          <w:tcPr>
            <w:tcW w:w="1418" w:type="dxa"/>
          </w:tcPr>
          <w:p w14:paraId="598E941F" w14:textId="687029AD" w:rsidR="00550D80" w:rsidRPr="00826E23" w:rsidRDefault="00550D80" w:rsidP="00550D80">
            <w:pPr>
              <w:textAlignment w:val="baseline"/>
              <w:rPr>
                <w:rFonts w:ascii="Arial" w:eastAsia="Times New Roman" w:hAnsi="Arial" w:cs="Arial"/>
                <w:lang w:val="en-GB" w:eastAsia="en-GB"/>
              </w:rPr>
            </w:pPr>
            <w:r w:rsidRPr="00826E23">
              <w:rPr>
                <w:rFonts w:ascii="Arial" w:eastAsia="Times New Roman" w:hAnsi="Arial" w:cs="Arial"/>
                <w:lang w:val="en-GB" w:eastAsia="en-GB"/>
              </w:rPr>
              <w:t>30.5%</w:t>
            </w:r>
          </w:p>
        </w:tc>
        <w:tc>
          <w:tcPr>
            <w:tcW w:w="1417" w:type="dxa"/>
          </w:tcPr>
          <w:p w14:paraId="75A180B4" w14:textId="6F4E24E1" w:rsidR="00550D80" w:rsidRPr="00826E23" w:rsidRDefault="00550D80" w:rsidP="00550D80">
            <w:pPr>
              <w:textAlignment w:val="baseline"/>
              <w:rPr>
                <w:rFonts w:ascii="Arial" w:eastAsia="Times New Roman" w:hAnsi="Arial" w:cs="Arial"/>
                <w:lang w:val="en-GB" w:eastAsia="en-GB"/>
              </w:rPr>
            </w:pPr>
            <w:r w:rsidRPr="00826E23">
              <w:rPr>
                <w:rFonts w:ascii="Arial" w:eastAsia="Times New Roman" w:hAnsi="Arial" w:cs="Arial"/>
                <w:lang w:val="en-GB" w:eastAsia="en-GB"/>
              </w:rPr>
              <w:t>69.5%</w:t>
            </w:r>
          </w:p>
        </w:tc>
        <w:tc>
          <w:tcPr>
            <w:tcW w:w="1276" w:type="dxa"/>
          </w:tcPr>
          <w:p w14:paraId="3ED384F7" w14:textId="7358A3C0" w:rsidR="00550D80" w:rsidRPr="00826E23" w:rsidRDefault="00550D80" w:rsidP="00550D80">
            <w:pPr>
              <w:textAlignment w:val="baseline"/>
              <w:rPr>
                <w:rFonts w:ascii="Arial" w:eastAsia="Times New Roman" w:hAnsi="Arial" w:cs="Arial"/>
                <w:lang w:val="en-GB" w:eastAsia="en-GB"/>
              </w:rPr>
            </w:pPr>
            <w:r w:rsidRPr="00826E23">
              <w:rPr>
                <w:rFonts w:ascii="Arial" w:eastAsia="Times New Roman" w:hAnsi="Arial" w:cs="Arial"/>
                <w:lang w:val="en-GB" w:eastAsia="en-GB"/>
              </w:rPr>
              <w:t>100%</w:t>
            </w:r>
          </w:p>
        </w:tc>
      </w:tr>
    </w:tbl>
    <w:p w14:paraId="362593DC" w14:textId="77777777" w:rsidR="00BD4AC6" w:rsidRPr="00826E23" w:rsidRDefault="00BD4AC6" w:rsidP="00895A4C">
      <w:pPr>
        <w:spacing w:after="0" w:line="240" w:lineRule="auto"/>
        <w:textAlignment w:val="baseline"/>
        <w:rPr>
          <w:rFonts w:ascii="Arial" w:eastAsia="Times New Roman" w:hAnsi="Arial" w:cs="Arial"/>
          <w:lang w:val="en-GB" w:eastAsia="en-GB"/>
        </w:rPr>
      </w:pPr>
    </w:p>
    <w:p w14:paraId="1E7C82D0" w14:textId="4909B460" w:rsidR="00895A4C" w:rsidRPr="00895A4C" w:rsidRDefault="00895A4C" w:rsidP="00895A4C">
      <w:pPr>
        <w:spacing w:after="0" w:line="240" w:lineRule="auto"/>
        <w:textAlignment w:val="baseline"/>
        <w:rPr>
          <w:rFonts w:ascii="Arial" w:eastAsia="Times New Roman" w:hAnsi="Arial" w:cs="Arial"/>
          <w:sz w:val="18"/>
          <w:szCs w:val="18"/>
          <w:lang w:val="en-GB" w:eastAsia="en-GB"/>
        </w:rPr>
      </w:pPr>
      <w:r w:rsidRPr="00895A4C">
        <w:rPr>
          <w:rFonts w:ascii="Arial" w:eastAsia="Times New Roman" w:hAnsi="Arial" w:cs="Arial"/>
          <w:lang w:val="en-GB" w:eastAsia="en-GB"/>
        </w:rPr>
        <w:t> </w:t>
      </w:r>
    </w:p>
    <w:p w14:paraId="16C9F57F" w14:textId="4909B460" w:rsidR="007936F4" w:rsidRPr="00826E23" w:rsidRDefault="007936F4" w:rsidP="007936F4">
      <w:pPr>
        <w:pStyle w:val="Heading3"/>
        <w:rPr>
          <w:rFonts w:ascii="Arial" w:hAnsi="Arial" w:cs="Arial"/>
          <w:lang w:val="en-GB"/>
        </w:rPr>
      </w:pPr>
      <w:bookmarkStart w:id="7" w:name="_Toc124787971"/>
      <w:r w:rsidRPr="00826E23">
        <w:rPr>
          <w:rFonts w:ascii="Arial" w:hAnsi="Arial" w:cs="Arial"/>
          <w:lang w:val="en-GB"/>
        </w:rPr>
        <w:t>Gender Pay Gap regulations</w:t>
      </w:r>
      <w:bookmarkEnd w:id="7"/>
      <w:r w:rsidRPr="00826E23">
        <w:rPr>
          <w:rFonts w:ascii="Arial" w:hAnsi="Arial" w:cs="Arial"/>
          <w:lang w:val="en-GB"/>
        </w:rPr>
        <w:t xml:space="preserve"> </w:t>
      </w:r>
    </w:p>
    <w:p w14:paraId="2814018F" w14:textId="77777777" w:rsidR="00112B1B" w:rsidRPr="00826E23" w:rsidRDefault="007936F4" w:rsidP="00895A4C">
      <w:pPr>
        <w:spacing w:after="0" w:line="240" w:lineRule="auto"/>
        <w:textAlignment w:val="baseline"/>
        <w:rPr>
          <w:rFonts w:ascii="Arial" w:hAnsi="Arial" w:cs="Arial"/>
          <w:lang w:val="en-GB"/>
        </w:rPr>
      </w:pPr>
      <w:r w:rsidRPr="00826E23">
        <w:rPr>
          <w:rFonts w:ascii="Arial" w:hAnsi="Arial" w:cs="Arial"/>
          <w:lang w:val="en-GB"/>
        </w:rPr>
        <w:t xml:space="preserve">Gender pay gap regulations make it statutory for organisations with 250 or more employees to publish annually on their gender pay gap. Government departments are covered by the Equality Act 2010 (Specific Duties and Public Authorities) Regulations 2017. </w:t>
      </w:r>
    </w:p>
    <w:p w14:paraId="0883AC18" w14:textId="77777777" w:rsidR="00112B1B" w:rsidRPr="00826E23" w:rsidRDefault="00112B1B" w:rsidP="00895A4C">
      <w:pPr>
        <w:spacing w:after="0" w:line="240" w:lineRule="auto"/>
        <w:textAlignment w:val="baseline"/>
        <w:rPr>
          <w:rFonts w:ascii="Arial" w:hAnsi="Arial" w:cs="Arial"/>
          <w:lang w:val="en-GB"/>
        </w:rPr>
      </w:pPr>
    </w:p>
    <w:p w14:paraId="7CD6A097" w14:textId="77777777" w:rsidR="00AD2AAE" w:rsidRPr="00826E23" w:rsidRDefault="007936F4" w:rsidP="00895A4C">
      <w:pPr>
        <w:spacing w:after="0" w:line="240" w:lineRule="auto"/>
        <w:textAlignment w:val="baseline"/>
        <w:rPr>
          <w:rFonts w:ascii="Arial" w:hAnsi="Arial" w:cs="Arial"/>
          <w:lang w:val="en-GB"/>
        </w:rPr>
      </w:pPr>
      <w:r w:rsidRPr="00826E23">
        <w:rPr>
          <w:rFonts w:ascii="Arial" w:hAnsi="Arial" w:cs="Arial"/>
          <w:lang w:val="en-GB"/>
        </w:rPr>
        <w:t>These regulations underpin the Public Sector Equality Duty and require the relevant organisations to publish their gender pay gap data by 30 March the following year, including:</w:t>
      </w:r>
    </w:p>
    <w:p w14:paraId="15F25795" w14:textId="6A5F75B5" w:rsidR="00AD2AAE" w:rsidRPr="00826E23" w:rsidRDefault="007936F4" w:rsidP="00AD2AAE">
      <w:pPr>
        <w:pStyle w:val="ListParagraph"/>
        <w:numPr>
          <w:ilvl w:val="0"/>
          <w:numId w:val="7"/>
        </w:numPr>
        <w:spacing w:after="0" w:line="240" w:lineRule="auto"/>
        <w:textAlignment w:val="baseline"/>
        <w:rPr>
          <w:rFonts w:ascii="Arial" w:hAnsi="Arial" w:cs="Arial"/>
          <w:lang w:val="en-GB"/>
        </w:rPr>
      </w:pPr>
      <w:r w:rsidRPr="00826E23">
        <w:rPr>
          <w:rFonts w:ascii="Arial" w:hAnsi="Arial" w:cs="Arial"/>
          <w:lang w:val="en-GB"/>
        </w:rPr>
        <w:t>mean and median gender pay gaps;</w:t>
      </w:r>
    </w:p>
    <w:p w14:paraId="3B8AE1E6" w14:textId="7F672CEE" w:rsidR="00AD2AAE" w:rsidRPr="00826E23" w:rsidRDefault="007936F4" w:rsidP="00AD2AAE">
      <w:pPr>
        <w:pStyle w:val="ListParagraph"/>
        <w:numPr>
          <w:ilvl w:val="0"/>
          <w:numId w:val="7"/>
        </w:numPr>
        <w:spacing w:after="0" w:line="240" w:lineRule="auto"/>
        <w:textAlignment w:val="baseline"/>
        <w:rPr>
          <w:rFonts w:ascii="Arial" w:hAnsi="Arial" w:cs="Arial"/>
          <w:lang w:val="en-GB"/>
        </w:rPr>
      </w:pPr>
      <w:r w:rsidRPr="00826E23">
        <w:rPr>
          <w:rFonts w:ascii="Arial" w:hAnsi="Arial" w:cs="Arial"/>
          <w:lang w:val="en-GB"/>
        </w:rPr>
        <w:t xml:space="preserve">mean and median gender bonus gaps; </w:t>
      </w:r>
    </w:p>
    <w:p w14:paraId="2893E933" w14:textId="0F3C0801" w:rsidR="00AD2AAE" w:rsidRPr="00826E23" w:rsidRDefault="007936F4" w:rsidP="00AD2AAE">
      <w:pPr>
        <w:pStyle w:val="ListParagraph"/>
        <w:numPr>
          <w:ilvl w:val="0"/>
          <w:numId w:val="7"/>
        </w:numPr>
        <w:spacing w:after="0" w:line="240" w:lineRule="auto"/>
        <w:textAlignment w:val="baseline"/>
        <w:rPr>
          <w:rFonts w:ascii="Arial" w:hAnsi="Arial" w:cs="Arial"/>
          <w:lang w:val="en-GB"/>
        </w:rPr>
      </w:pPr>
      <w:r w:rsidRPr="00826E23">
        <w:rPr>
          <w:rFonts w:ascii="Arial" w:hAnsi="Arial" w:cs="Arial"/>
          <w:lang w:val="en-GB"/>
        </w:rPr>
        <w:lastRenderedPageBreak/>
        <w:t xml:space="preserve">the proportion of men and women who received bonus payments, and: </w:t>
      </w:r>
    </w:p>
    <w:p w14:paraId="62873D65" w14:textId="64561E8B" w:rsidR="00AD2AAE" w:rsidRPr="00826E23" w:rsidRDefault="007936F4" w:rsidP="00AD2AAE">
      <w:pPr>
        <w:pStyle w:val="ListParagraph"/>
        <w:numPr>
          <w:ilvl w:val="0"/>
          <w:numId w:val="7"/>
        </w:numPr>
        <w:spacing w:after="0" w:line="240" w:lineRule="auto"/>
        <w:textAlignment w:val="baseline"/>
        <w:rPr>
          <w:rFonts w:ascii="Arial" w:hAnsi="Arial" w:cs="Arial"/>
          <w:lang w:val="en-GB"/>
        </w:rPr>
      </w:pPr>
      <w:r w:rsidRPr="00826E23">
        <w:rPr>
          <w:rFonts w:ascii="Arial" w:hAnsi="Arial" w:cs="Arial"/>
          <w:lang w:val="en-GB"/>
        </w:rPr>
        <w:t xml:space="preserve">the proportions of male and female employees in each pay quartile. </w:t>
      </w:r>
    </w:p>
    <w:p w14:paraId="578ECEAA" w14:textId="77777777" w:rsidR="00AD2AAE" w:rsidRPr="00826E23" w:rsidRDefault="00AD2AAE" w:rsidP="00895A4C">
      <w:pPr>
        <w:spacing w:after="0" w:line="240" w:lineRule="auto"/>
        <w:textAlignment w:val="baseline"/>
        <w:rPr>
          <w:rFonts w:ascii="Arial" w:hAnsi="Arial" w:cs="Arial"/>
          <w:lang w:val="en-GB"/>
        </w:rPr>
      </w:pPr>
    </w:p>
    <w:p w14:paraId="1CA6DCFB" w14:textId="062B8EB3" w:rsidR="00895A4C" w:rsidRPr="00826E23" w:rsidRDefault="007936F4" w:rsidP="00895A4C">
      <w:pPr>
        <w:spacing w:after="0" w:line="240" w:lineRule="auto"/>
        <w:textAlignment w:val="baseline"/>
        <w:rPr>
          <w:rFonts w:ascii="Arial" w:hAnsi="Arial" w:cs="Arial"/>
          <w:lang w:val="en-GB"/>
        </w:rPr>
      </w:pPr>
      <w:r w:rsidRPr="00826E23">
        <w:rPr>
          <w:rFonts w:ascii="Arial" w:hAnsi="Arial" w:cs="Arial"/>
          <w:lang w:val="en-GB"/>
        </w:rPr>
        <w:t>This report provides our gender pay gap, using the Government Equalities Office methodology, on the snapshot date of 31 March 2022. For bonuses, we used the period of 1 April 2021 to 31 March 2022, which was the 12 months preceding the snapshot date</w:t>
      </w:r>
      <w:r w:rsidR="00AD2AAE" w:rsidRPr="00826E23">
        <w:rPr>
          <w:rFonts w:ascii="Arial" w:hAnsi="Arial" w:cs="Arial"/>
          <w:lang w:val="en-GB"/>
        </w:rPr>
        <w:t>.</w:t>
      </w:r>
    </w:p>
    <w:p w14:paraId="45A81238" w14:textId="77777777" w:rsidR="00AD2AAE" w:rsidRPr="00895A4C" w:rsidRDefault="00AD2AAE" w:rsidP="00895A4C">
      <w:pPr>
        <w:spacing w:after="0" w:line="240" w:lineRule="auto"/>
        <w:textAlignment w:val="baseline"/>
        <w:rPr>
          <w:rFonts w:ascii="Arial" w:eastAsia="Times New Roman" w:hAnsi="Arial" w:cs="Arial"/>
          <w:sz w:val="18"/>
          <w:szCs w:val="18"/>
          <w:lang w:val="en-GB" w:eastAsia="en-GB"/>
        </w:rPr>
      </w:pPr>
    </w:p>
    <w:p w14:paraId="4CC022CA" w14:textId="1DF3D9B9" w:rsidR="00895A4C" w:rsidRPr="00895A4C" w:rsidRDefault="00895A4C" w:rsidP="00895A4C">
      <w:pPr>
        <w:spacing w:after="0" w:line="240" w:lineRule="auto"/>
        <w:textAlignment w:val="baseline"/>
        <w:rPr>
          <w:rFonts w:ascii="Arial" w:eastAsia="Times New Roman" w:hAnsi="Arial" w:cs="Arial"/>
          <w:sz w:val="18"/>
          <w:szCs w:val="18"/>
          <w:lang w:val="en-GB" w:eastAsia="en-GB"/>
        </w:rPr>
      </w:pPr>
      <w:r w:rsidRPr="00895A4C">
        <w:rPr>
          <w:rFonts w:ascii="Arial" w:eastAsia="Times New Roman" w:hAnsi="Arial" w:cs="Arial"/>
          <w:lang w:val="en-GB" w:eastAsia="en-GB"/>
        </w:rPr>
        <w:t> </w:t>
      </w:r>
    </w:p>
    <w:p w14:paraId="5B8D9CDB" w14:textId="77777777" w:rsidR="006F7FB6" w:rsidRPr="00826E23" w:rsidRDefault="006F7FB6">
      <w:pPr>
        <w:rPr>
          <w:rFonts w:ascii="Arial" w:eastAsia="Times New Roman" w:hAnsi="Arial" w:cs="Arial"/>
          <w:color w:val="2F5496" w:themeColor="accent1" w:themeShade="BF"/>
          <w:sz w:val="26"/>
          <w:szCs w:val="26"/>
          <w:lang w:val="en-GB" w:eastAsia="en-GB"/>
        </w:rPr>
      </w:pPr>
      <w:r w:rsidRPr="00826E23">
        <w:rPr>
          <w:rFonts w:ascii="Arial" w:eastAsia="Times New Roman" w:hAnsi="Arial" w:cs="Arial"/>
          <w:lang w:val="en-GB" w:eastAsia="en-GB"/>
        </w:rPr>
        <w:br w:type="page"/>
      </w:r>
    </w:p>
    <w:p w14:paraId="0203836B" w14:textId="4E52DA4D" w:rsidR="00895A4C" w:rsidRPr="00826E23" w:rsidRDefault="00895A4C" w:rsidP="006F7FB6">
      <w:pPr>
        <w:pStyle w:val="Heading2"/>
        <w:rPr>
          <w:rFonts w:ascii="Arial" w:eastAsia="Times New Roman" w:hAnsi="Arial" w:cs="Arial"/>
          <w:b/>
          <w:bCs/>
          <w:color w:val="auto"/>
          <w:sz w:val="18"/>
          <w:szCs w:val="18"/>
          <w:lang w:val="en-GB" w:eastAsia="en-GB"/>
        </w:rPr>
      </w:pPr>
      <w:bookmarkStart w:id="8" w:name="_Toc124787972"/>
      <w:r w:rsidRPr="00826E23">
        <w:rPr>
          <w:rFonts w:ascii="Arial" w:eastAsia="Times New Roman" w:hAnsi="Arial" w:cs="Arial"/>
          <w:b/>
          <w:bCs/>
          <w:color w:val="auto"/>
          <w:lang w:val="en-GB" w:eastAsia="en-GB"/>
        </w:rPr>
        <w:lastRenderedPageBreak/>
        <w:t>Key Findings</w:t>
      </w:r>
      <w:bookmarkEnd w:id="8"/>
      <w:r w:rsidRPr="00826E23">
        <w:rPr>
          <w:rFonts w:ascii="Arial" w:eastAsia="Times New Roman" w:hAnsi="Arial" w:cs="Arial"/>
          <w:b/>
          <w:bCs/>
          <w:color w:val="auto"/>
          <w:lang w:val="en-GB" w:eastAsia="en-GB"/>
        </w:rPr>
        <w:t> </w:t>
      </w:r>
    </w:p>
    <w:p w14:paraId="13A49EE9" w14:textId="77777777" w:rsidR="006F7FB6" w:rsidRPr="00826E23" w:rsidRDefault="006F7FB6" w:rsidP="00895A4C">
      <w:pPr>
        <w:spacing w:after="0" w:line="240" w:lineRule="auto"/>
        <w:textAlignment w:val="baseline"/>
        <w:rPr>
          <w:rFonts w:ascii="Arial" w:eastAsia="Times New Roman" w:hAnsi="Arial" w:cs="Arial"/>
          <w:lang w:val="en-GB" w:eastAsia="en-GB"/>
        </w:rPr>
      </w:pPr>
    </w:p>
    <w:p w14:paraId="7FFCFF03" w14:textId="77777777" w:rsidR="003A3D0D" w:rsidRPr="00826E23" w:rsidRDefault="00E96A38" w:rsidP="00895A4C">
      <w:pPr>
        <w:spacing w:after="0" w:line="240" w:lineRule="auto"/>
        <w:textAlignment w:val="baseline"/>
        <w:rPr>
          <w:rFonts w:ascii="Arial" w:hAnsi="Arial" w:cs="Arial"/>
          <w:lang w:val="en-GB"/>
        </w:rPr>
      </w:pPr>
      <w:r w:rsidRPr="00826E23">
        <w:rPr>
          <w:rFonts w:ascii="Arial" w:hAnsi="Arial" w:cs="Arial"/>
          <w:lang w:val="en-GB"/>
        </w:rPr>
        <w:t xml:space="preserve">The Met Office mean gender pay gap for 2022 is 5.6%. This is a decrease of 0.9% from 6.5% in 2021. Factors affecting movement from prior year for mean gender pay gap: </w:t>
      </w:r>
    </w:p>
    <w:p w14:paraId="72256D52" w14:textId="7EAF2567" w:rsidR="003A3D0D" w:rsidRPr="00826E23" w:rsidRDefault="00E96A38" w:rsidP="00861255">
      <w:pPr>
        <w:pStyle w:val="ListParagraph"/>
        <w:numPr>
          <w:ilvl w:val="0"/>
          <w:numId w:val="7"/>
        </w:numPr>
        <w:spacing w:after="0" w:line="240" w:lineRule="auto"/>
        <w:textAlignment w:val="baseline"/>
        <w:rPr>
          <w:rFonts w:ascii="Arial" w:hAnsi="Arial" w:cs="Arial"/>
          <w:lang w:val="en-GB"/>
        </w:rPr>
      </w:pPr>
      <w:r w:rsidRPr="00826E23">
        <w:rPr>
          <w:rFonts w:ascii="Arial" w:hAnsi="Arial" w:cs="Arial"/>
          <w:lang w:val="en-GB"/>
        </w:rPr>
        <w:t xml:space="preserve">Balance of instant performance recognition awards were proportionally higher to females than males in March 2022 versus 2021 (increases March hourly pay measure). </w:t>
      </w:r>
    </w:p>
    <w:p w14:paraId="48395A44" w14:textId="3F4852DD" w:rsidR="003A3D0D" w:rsidRPr="00826E23" w:rsidRDefault="00E96A38" w:rsidP="00861255">
      <w:pPr>
        <w:pStyle w:val="ListParagraph"/>
        <w:numPr>
          <w:ilvl w:val="0"/>
          <w:numId w:val="7"/>
        </w:numPr>
        <w:spacing w:after="0" w:line="240" w:lineRule="auto"/>
        <w:textAlignment w:val="baseline"/>
        <w:rPr>
          <w:rFonts w:ascii="Arial" w:hAnsi="Arial" w:cs="Arial"/>
          <w:lang w:val="en-GB"/>
        </w:rPr>
      </w:pPr>
      <w:r w:rsidRPr="00826E23">
        <w:rPr>
          <w:rFonts w:ascii="Arial" w:hAnsi="Arial" w:cs="Arial"/>
          <w:lang w:val="en-GB"/>
        </w:rPr>
        <w:t>Higher proportion of promotions to female candidates (48% of promotions when comparing position at 31 March 2022 vs 2021).</w:t>
      </w:r>
    </w:p>
    <w:p w14:paraId="105BC1DD" w14:textId="4F8AA67C" w:rsidR="003A3D0D" w:rsidRPr="00826E23" w:rsidRDefault="00E96A38" w:rsidP="00861255">
      <w:pPr>
        <w:pStyle w:val="ListParagraph"/>
        <w:numPr>
          <w:ilvl w:val="0"/>
          <w:numId w:val="7"/>
        </w:numPr>
        <w:spacing w:after="0" w:line="240" w:lineRule="auto"/>
        <w:textAlignment w:val="baseline"/>
        <w:rPr>
          <w:rFonts w:ascii="Arial" w:hAnsi="Arial" w:cs="Arial"/>
          <w:lang w:val="en-GB"/>
        </w:rPr>
      </w:pPr>
      <w:r w:rsidRPr="00826E23">
        <w:rPr>
          <w:rFonts w:ascii="Arial" w:hAnsi="Arial" w:cs="Arial"/>
          <w:lang w:val="en-GB"/>
        </w:rPr>
        <w:t xml:space="preserve">Higher proportion of female joiners at higher grades in year increasing underlying female pay by more than male pay. Joiners in year were 43% female. </w:t>
      </w:r>
    </w:p>
    <w:p w14:paraId="4AAB194A" w14:textId="5417416F" w:rsidR="0041659C" w:rsidRPr="00826E23" w:rsidRDefault="00E96A38" w:rsidP="00861255">
      <w:pPr>
        <w:pStyle w:val="ListParagraph"/>
        <w:numPr>
          <w:ilvl w:val="0"/>
          <w:numId w:val="7"/>
        </w:numPr>
        <w:spacing w:after="0" w:line="240" w:lineRule="auto"/>
        <w:textAlignment w:val="baseline"/>
        <w:rPr>
          <w:rFonts w:ascii="Arial" w:hAnsi="Arial" w:cs="Arial"/>
          <w:lang w:val="en-GB"/>
        </w:rPr>
      </w:pPr>
      <w:r w:rsidRPr="00826E23">
        <w:rPr>
          <w:rFonts w:ascii="Arial" w:hAnsi="Arial" w:cs="Arial"/>
          <w:lang w:val="en-GB"/>
        </w:rPr>
        <w:t xml:space="preserve">Increase in proportion of females earning allowances for shift working. </w:t>
      </w:r>
    </w:p>
    <w:p w14:paraId="1BFB1CB7" w14:textId="77777777" w:rsidR="0041659C" w:rsidRPr="00826E23" w:rsidRDefault="0041659C" w:rsidP="00895A4C">
      <w:pPr>
        <w:spacing w:after="0" w:line="240" w:lineRule="auto"/>
        <w:textAlignment w:val="baseline"/>
        <w:rPr>
          <w:rFonts w:ascii="Arial" w:hAnsi="Arial" w:cs="Arial"/>
          <w:lang w:val="en-GB"/>
        </w:rPr>
      </w:pPr>
    </w:p>
    <w:p w14:paraId="6022550E" w14:textId="20F617C8" w:rsidR="003A3D0D" w:rsidRPr="00826E23" w:rsidRDefault="00E96A38" w:rsidP="00895A4C">
      <w:pPr>
        <w:spacing w:after="0" w:line="240" w:lineRule="auto"/>
        <w:textAlignment w:val="baseline"/>
        <w:rPr>
          <w:rFonts w:ascii="Arial" w:hAnsi="Arial" w:cs="Arial"/>
          <w:lang w:val="en-GB"/>
        </w:rPr>
      </w:pPr>
      <w:r w:rsidRPr="00826E23">
        <w:rPr>
          <w:rFonts w:ascii="Arial" w:hAnsi="Arial" w:cs="Arial"/>
          <w:lang w:val="en-GB"/>
        </w:rPr>
        <w:t xml:space="preserve">Analysis shows the issues impacting the Met Office gender pay gap include: </w:t>
      </w:r>
    </w:p>
    <w:p w14:paraId="6B648189" w14:textId="6DF3ADD2" w:rsidR="003A3D0D" w:rsidRPr="00826E23" w:rsidRDefault="00E96A38" w:rsidP="00861255">
      <w:pPr>
        <w:pStyle w:val="ListParagraph"/>
        <w:numPr>
          <w:ilvl w:val="0"/>
          <w:numId w:val="7"/>
        </w:numPr>
        <w:spacing w:after="0" w:line="240" w:lineRule="auto"/>
        <w:textAlignment w:val="baseline"/>
        <w:rPr>
          <w:rFonts w:ascii="Arial" w:hAnsi="Arial" w:cs="Arial"/>
          <w:lang w:val="en-GB"/>
        </w:rPr>
      </w:pPr>
      <w:r w:rsidRPr="00826E23">
        <w:rPr>
          <w:rFonts w:ascii="Arial" w:hAnsi="Arial" w:cs="Arial"/>
          <w:b/>
          <w:bCs/>
          <w:lang w:val="en-GB"/>
        </w:rPr>
        <w:t>Low representation of women at senior levels</w:t>
      </w:r>
      <w:r w:rsidRPr="00826E23">
        <w:rPr>
          <w:rFonts w:ascii="Arial" w:hAnsi="Arial" w:cs="Arial"/>
          <w:lang w:val="en-GB"/>
        </w:rPr>
        <w:t xml:space="preserve">: while women represent 38% of the organisation, they are only 30% and 35% of the top and middle top quartiles. We continue to look at our recruitment and progression processes to remove barriers for women. </w:t>
      </w:r>
    </w:p>
    <w:p w14:paraId="335A042C" w14:textId="16033D30" w:rsidR="003A3D0D" w:rsidRPr="00826E23" w:rsidRDefault="00E96A38" w:rsidP="00861255">
      <w:pPr>
        <w:pStyle w:val="ListParagraph"/>
        <w:numPr>
          <w:ilvl w:val="0"/>
          <w:numId w:val="7"/>
        </w:numPr>
        <w:spacing w:after="0" w:line="240" w:lineRule="auto"/>
        <w:textAlignment w:val="baseline"/>
        <w:rPr>
          <w:rFonts w:ascii="Arial" w:hAnsi="Arial" w:cs="Arial"/>
          <w:lang w:val="en-GB"/>
        </w:rPr>
      </w:pPr>
      <w:r w:rsidRPr="00826E23">
        <w:rPr>
          <w:rFonts w:ascii="Arial" w:hAnsi="Arial" w:cs="Arial"/>
          <w:b/>
          <w:bCs/>
          <w:lang w:val="en-GB"/>
        </w:rPr>
        <w:t>Market premiums payable to particular professions</w:t>
      </w:r>
      <w:r w:rsidRPr="00826E23">
        <w:rPr>
          <w:rFonts w:ascii="Arial" w:hAnsi="Arial" w:cs="Arial"/>
          <w:lang w:val="en-GB"/>
        </w:rPr>
        <w:t xml:space="preserve">: skills in sectors such as IT and engineering continue to be in short supply and in order to compete these roles attract a market premium rate of pay. These roles typically have a much higher proportion of men and therefore the premium payment increases average pay for males disproportionately even though premium payment is equal to men and women in the same eligible roles. </w:t>
      </w:r>
    </w:p>
    <w:p w14:paraId="67416232" w14:textId="5E9D34DB" w:rsidR="006F7FB6" w:rsidRPr="00826E23" w:rsidRDefault="00E96A38" w:rsidP="00861255">
      <w:pPr>
        <w:pStyle w:val="ListParagraph"/>
        <w:numPr>
          <w:ilvl w:val="0"/>
          <w:numId w:val="7"/>
        </w:numPr>
        <w:spacing w:after="0" w:line="240" w:lineRule="auto"/>
        <w:textAlignment w:val="baseline"/>
        <w:rPr>
          <w:rFonts w:ascii="Arial" w:eastAsia="Times New Roman" w:hAnsi="Arial" w:cs="Arial"/>
          <w:lang w:val="en-GB" w:eastAsia="en-GB"/>
        </w:rPr>
      </w:pPr>
      <w:r w:rsidRPr="00826E23">
        <w:rPr>
          <w:rFonts w:ascii="Arial" w:hAnsi="Arial" w:cs="Arial"/>
          <w:b/>
          <w:bCs/>
          <w:lang w:val="en-GB"/>
        </w:rPr>
        <w:t>High Level of STEM roles</w:t>
      </w:r>
      <w:r w:rsidRPr="00826E23">
        <w:rPr>
          <w:rFonts w:ascii="Arial" w:hAnsi="Arial" w:cs="Arial"/>
          <w:lang w:val="en-GB"/>
        </w:rPr>
        <w:t>: a significant proportion of our roles require capability in STEM (Science, Technology, Engineering and Mathematics) subjects. The low number of women who study STEM subjects is a barrier to recruiting women into these roles. We have had some recent successes however, with our entry level Operational Meteorology Technician intake being 68% female during FY21/22</w:t>
      </w:r>
      <w:r w:rsidR="00861255" w:rsidRPr="00826E23">
        <w:rPr>
          <w:rFonts w:ascii="Arial" w:hAnsi="Arial" w:cs="Arial"/>
          <w:lang w:val="en-GB"/>
        </w:rPr>
        <w:t>.</w:t>
      </w:r>
    </w:p>
    <w:p w14:paraId="34A2B5B0" w14:textId="77777777" w:rsidR="003931B0" w:rsidRPr="00826E23" w:rsidRDefault="003931B0" w:rsidP="003931B0">
      <w:pPr>
        <w:spacing w:after="0" w:line="240" w:lineRule="auto"/>
        <w:ind w:left="410"/>
        <w:textAlignment w:val="baseline"/>
        <w:rPr>
          <w:rFonts w:ascii="Arial" w:eastAsia="Times New Roman" w:hAnsi="Arial" w:cs="Arial"/>
          <w:lang w:val="en-GB" w:eastAsia="en-GB"/>
        </w:rPr>
      </w:pPr>
    </w:p>
    <w:p w14:paraId="77AE1477" w14:textId="18C62F04" w:rsidR="003931B0" w:rsidRPr="00826E23" w:rsidRDefault="003931B0" w:rsidP="003931B0">
      <w:pPr>
        <w:spacing w:after="0" w:line="240" w:lineRule="auto"/>
        <w:ind w:left="410"/>
        <w:textAlignment w:val="baseline"/>
        <w:rPr>
          <w:rFonts w:ascii="Arial" w:hAnsi="Arial" w:cs="Arial"/>
          <w:lang w:val="en-GB"/>
        </w:rPr>
      </w:pPr>
      <w:r w:rsidRPr="00826E23">
        <w:rPr>
          <w:rFonts w:ascii="Arial" w:hAnsi="Arial" w:cs="Arial"/>
          <w:lang w:val="en-GB"/>
        </w:rPr>
        <w:t>The following shows the gender pay and bonus gender pay gaps across the last 4 snapshot dates.</w:t>
      </w:r>
    </w:p>
    <w:p w14:paraId="1C983A7F" w14:textId="77777777" w:rsidR="00EF1087" w:rsidRPr="00826E23" w:rsidRDefault="00EF1087" w:rsidP="003931B0">
      <w:pPr>
        <w:spacing w:after="0" w:line="240" w:lineRule="auto"/>
        <w:ind w:left="410"/>
        <w:textAlignment w:val="baseline"/>
        <w:rPr>
          <w:rFonts w:ascii="Arial" w:hAnsi="Arial" w:cs="Arial"/>
          <w:lang w:val="en-GB"/>
        </w:rPr>
      </w:pPr>
    </w:p>
    <w:tbl>
      <w:tblPr>
        <w:tblStyle w:val="TableGrid"/>
        <w:tblW w:w="9224" w:type="dxa"/>
        <w:tblInd w:w="410" w:type="dxa"/>
        <w:tblLook w:val="04A0" w:firstRow="1" w:lastRow="0" w:firstColumn="1" w:lastColumn="0" w:noHBand="0" w:noVBand="1"/>
      </w:tblPr>
      <w:tblGrid>
        <w:gridCol w:w="2420"/>
        <w:gridCol w:w="1701"/>
        <w:gridCol w:w="1701"/>
        <w:gridCol w:w="1701"/>
        <w:gridCol w:w="1701"/>
      </w:tblGrid>
      <w:tr w:rsidR="0094314C" w:rsidRPr="00826E23" w14:paraId="434781CE" w14:textId="07E68183" w:rsidTr="002B5C57">
        <w:tc>
          <w:tcPr>
            <w:tcW w:w="2420" w:type="dxa"/>
          </w:tcPr>
          <w:p w14:paraId="43116964" w14:textId="1C7B1ECC" w:rsidR="0094314C" w:rsidRPr="00826E23" w:rsidRDefault="007D736A" w:rsidP="003931B0">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Gender Pay Gap Measure</w:t>
            </w:r>
          </w:p>
        </w:tc>
        <w:tc>
          <w:tcPr>
            <w:tcW w:w="1701" w:type="dxa"/>
          </w:tcPr>
          <w:p w14:paraId="0E04F8FF" w14:textId="796A09D1" w:rsidR="0094314C" w:rsidRPr="00826E23" w:rsidRDefault="002B5C57" w:rsidP="003931B0">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 xml:space="preserve">31 March </w:t>
            </w:r>
            <w:r w:rsidR="0094314C" w:rsidRPr="00826E23">
              <w:rPr>
                <w:rFonts w:ascii="Arial" w:eastAsia="Times New Roman" w:hAnsi="Arial" w:cs="Arial"/>
                <w:b/>
                <w:bCs/>
                <w:lang w:val="en-GB" w:eastAsia="en-GB"/>
              </w:rPr>
              <w:t>2019</w:t>
            </w:r>
          </w:p>
        </w:tc>
        <w:tc>
          <w:tcPr>
            <w:tcW w:w="1701" w:type="dxa"/>
          </w:tcPr>
          <w:p w14:paraId="6FD1160A" w14:textId="0D0DD8F8" w:rsidR="0094314C" w:rsidRPr="00826E23" w:rsidRDefault="002B5C57" w:rsidP="003931B0">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 xml:space="preserve">31 March </w:t>
            </w:r>
            <w:r w:rsidR="0094314C" w:rsidRPr="00826E23">
              <w:rPr>
                <w:rFonts w:ascii="Arial" w:eastAsia="Times New Roman" w:hAnsi="Arial" w:cs="Arial"/>
                <w:b/>
                <w:bCs/>
                <w:lang w:val="en-GB" w:eastAsia="en-GB"/>
              </w:rPr>
              <w:t>2020</w:t>
            </w:r>
          </w:p>
        </w:tc>
        <w:tc>
          <w:tcPr>
            <w:tcW w:w="1701" w:type="dxa"/>
          </w:tcPr>
          <w:p w14:paraId="1CE2A18A" w14:textId="52580EFF" w:rsidR="0094314C" w:rsidRPr="00826E23" w:rsidRDefault="002B5C57" w:rsidP="003931B0">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 xml:space="preserve">31 March </w:t>
            </w:r>
            <w:r w:rsidR="0094314C" w:rsidRPr="00826E23">
              <w:rPr>
                <w:rFonts w:ascii="Arial" w:eastAsia="Times New Roman" w:hAnsi="Arial" w:cs="Arial"/>
                <w:b/>
                <w:bCs/>
                <w:lang w:val="en-GB" w:eastAsia="en-GB"/>
              </w:rPr>
              <w:t>2021</w:t>
            </w:r>
          </w:p>
        </w:tc>
        <w:tc>
          <w:tcPr>
            <w:tcW w:w="1701" w:type="dxa"/>
          </w:tcPr>
          <w:p w14:paraId="310325EE" w14:textId="442CE1AF" w:rsidR="0094314C" w:rsidRPr="00826E23" w:rsidRDefault="002B5C57" w:rsidP="003931B0">
            <w:pPr>
              <w:textAlignment w:val="baseline"/>
              <w:rPr>
                <w:rFonts w:ascii="Arial" w:eastAsia="Times New Roman" w:hAnsi="Arial" w:cs="Arial"/>
                <w:b/>
                <w:bCs/>
                <w:lang w:val="en-GB" w:eastAsia="en-GB"/>
              </w:rPr>
            </w:pPr>
            <w:r w:rsidRPr="00826E23">
              <w:rPr>
                <w:rFonts w:ascii="Arial" w:eastAsia="Times New Roman" w:hAnsi="Arial" w:cs="Arial"/>
                <w:b/>
                <w:bCs/>
                <w:lang w:val="en-GB" w:eastAsia="en-GB"/>
              </w:rPr>
              <w:t xml:space="preserve">31 March </w:t>
            </w:r>
            <w:r w:rsidR="0094314C" w:rsidRPr="00826E23">
              <w:rPr>
                <w:rFonts w:ascii="Arial" w:eastAsia="Times New Roman" w:hAnsi="Arial" w:cs="Arial"/>
                <w:b/>
                <w:bCs/>
                <w:lang w:val="en-GB" w:eastAsia="en-GB"/>
              </w:rPr>
              <w:t>2022</w:t>
            </w:r>
          </w:p>
        </w:tc>
      </w:tr>
      <w:tr w:rsidR="0094314C" w:rsidRPr="00826E23" w14:paraId="47571A24" w14:textId="4412BD16" w:rsidTr="002B5C57">
        <w:tc>
          <w:tcPr>
            <w:tcW w:w="2420" w:type="dxa"/>
          </w:tcPr>
          <w:p w14:paraId="082EC036" w14:textId="777504B8" w:rsidR="0094314C" w:rsidRPr="00826E23" w:rsidRDefault="0094314C"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Mean Gender Pay Gap</w:t>
            </w:r>
          </w:p>
        </w:tc>
        <w:tc>
          <w:tcPr>
            <w:tcW w:w="1701" w:type="dxa"/>
          </w:tcPr>
          <w:p w14:paraId="04908A1F" w14:textId="46C4B02E" w:rsidR="0094314C" w:rsidRPr="00826E23" w:rsidRDefault="00AF385D"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8.1%</w:t>
            </w:r>
          </w:p>
        </w:tc>
        <w:tc>
          <w:tcPr>
            <w:tcW w:w="1701" w:type="dxa"/>
          </w:tcPr>
          <w:p w14:paraId="380F8B13" w14:textId="75EA8558" w:rsidR="0094314C" w:rsidRPr="00826E23" w:rsidRDefault="00AF385D"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7.3%</w:t>
            </w:r>
          </w:p>
        </w:tc>
        <w:tc>
          <w:tcPr>
            <w:tcW w:w="1701" w:type="dxa"/>
          </w:tcPr>
          <w:p w14:paraId="1E0334AB" w14:textId="358D02FD" w:rsidR="0094314C" w:rsidRPr="00826E23" w:rsidRDefault="00142B73"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6.5%</w:t>
            </w:r>
          </w:p>
        </w:tc>
        <w:tc>
          <w:tcPr>
            <w:tcW w:w="1701" w:type="dxa"/>
          </w:tcPr>
          <w:p w14:paraId="1DECBBCD" w14:textId="69717E19" w:rsidR="0094314C" w:rsidRPr="00826E23" w:rsidRDefault="00142B73"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5.6%</w:t>
            </w:r>
          </w:p>
        </w:tc>
      </w:tr>
      <w:tr w:rsidR="0094314C" w:rsidRPr="00826E23" w14:paraId="1A68CBF4" w14:textId="1D3B1A43" w:rsidTr="002B5C57">
        <w:tc>
          <w:tcPr>
            <w:tcW w:w="2420" w:type="dxa"/>
          </w:tcPr>
          <w:p w14:paraId="32641B53" w14:textId="0451BF17" w:rsidR="0094314C" w:rsidRPr="00826E23" w:rsidRDefault="0094314C"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Median Gender Pay Gap</w:t>
            </w:r>
          </w:p>
        </w:tc>
        <w:tc>
          <w:tcPr>
            <w:tcW w:w="1701" w:type="dxa"/>
          </w:tcPr>
          <w:p w14:paraId="45790A28" w14:textId="12BD57F3" w:rsidR="0094314C" w:rsidRPr="00826E23" w:rsidRDefault="0076555D"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4.4%</w:t>
            </w:r>
          </w:p>
        </w:tc>
        <w:tc>
          <w:tcPr>
            <w:tcW w:w="1701" w:type="dxa"/>
          </w:tcPr>
          <w:p w14:paraId="4F87738D" w14:textId="6312508C" w:rsidR="0094314C" w:rsidRPr="00826E23" w:rsidRDefault="00394858"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5.7%</w:t>
            </w:r>
          </w:p>
        </w:tc>
        <w:tc>
          <w:tcPr>
            <w:tcW w:w="1701" w:type="dxa"/>
          </w:tcPr>
          <w:p w14:paraId="4F3EBF26" w14:textId="49047CF2" w:rsidR="0094314C" w:rsidRPr="00826E23" w:rsidRDefault="00A1254B"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4.0%</w:t>
            </w:r>
          </w:p>
        </w:tc>
        <w:tc>
          <w:tcPr>
            <w:tcW w:w="1701" w:type="dxa"/>
          </w:tcPr>
          <w:p w14:paraId="7F6B2DDD" w14:textId="43D29D26" w:rsidR="0094314C" w:rsidRPr="00826E23" w:rsidRDefault="005C72DD"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4.1%</w:t>
            </w:r>
          </w:p>
        </w:tc>
      </w:tr>
      <w:tr w:rsidR="0094314C" w:rsidRPr="00826E23" w14:paraId="24803292" w14:textId="70234D68" w:rsidTr="002B5C57">
        <w:tc>
          <w:tcPr>
            <w:tcW w:w="2420" w:type="dxa"/>
          </w:tcPr>
          <w:p w14:paraId="0ADE3A79" w14:textId="067664EA" w:rsidR="0094314C" w:rsidRPr="00826E23" w:rsidRDefault="001E23B5"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Mean Bonus Pay Gap</w:t>
            </w:r>
          </w:p>
        </w:tc>
        <w:tc>
          <w:tcPr>
            <w:tcW w:w="1701" w:type="dxa"/>
          </w:tcPr>
          <w:p w14:paraId="0A75DD79" w14:textId="3E93C5C4" w:rsidR="0094314C" w:rsidRPr="00826E23" w:rsidRDefault="007E2CE9"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6.0%</w:t>
            </w:r>
          </w:p>
        </w:tc>
        <w:tc>
          <w:tcPr>
            <w:tcW w:w="1701" w:type="dxa"/>
          </w:tcPr>
          <w:p w14:paraId="66BE1032" w14:textId="0C24719B" w:rsidR="0094314C" w:rsidRPr="00826E23" w:rsidRDefault="00F13BB4"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6.9%</w:t>
            </w:r>
          </w:p>
        </w:tc>
        <w:tc>
          <w:tcPr>
            <w:tcW w:w="1701" w:type="dxa"/>
          </w:tcPr>
          <w:p w14:paraId="43C04808" w14:textId="24855BA1" w:rsidR="0094314C" w:rsidRPr="00826E23" w:rsidRDefault="009D1FF1"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4.8%</w:t>
            </w:r>
          </w:p>
        </w:tc>
        <w:tc>
          <w:tcPr>
            <w:tcW w:w="1701" w:type="dxa"/>
          </w:tcPr>
          <w:p w14:paraId="155D8FBC" w14:textId="1B9EDC0D" w:rsidR="0094314C" w:rsidRPr="00826E23" w:rsidRDefault="00A32091"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2.5%</w:t>
            </w:r>
          </w:p>
        </w:tc>
      </w:tr>
      <w:tr w:rsidR="0094314C" w:rsidRPr="00826E23" w14:paraId="665FBAF7" w14:textId="11AB7272" w:rsidTr="002B5C57">
        <w:tc>
          <w:tcPr>
            <w:tcW w:w="2420" w:type="dxa"/>
          </w:tcPr>
          <w:p w14:paraId="294BA590" w14:textId="00A8F951" w:rsidR="0094314C" w:rsidRPr="00826E23" w:rsidRDefault="001E23B5"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Median Bonus Pay Gap</w:t>
            </w:r>
          </w:p>
        </w:tc>
        <w:tc>
          <w:tcPr>
            <w:tcW w:w="1701" w:type="dxa"/>
          </w:tcPr>
          <w:p w14:paraId="561B441A" w14:textId="7926B3AB" w:rsidR="0094314C" w:rsidRPr="00826E23" w:rsidRDefault="005A06F9"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1.1%</w:t>
            </w:r>
          </w:p>
        </w:tc>
        <w:tc>
          <w:tcPr>
            <w:tcW w:w="1701" w:type="dxa"/>
          </w:tcPr>
          <w:p w14:paraId="6F107B86" w14:textId="28119B11" w:rsidR="0094314C" w:rsidRPr="00826E23" w:rsidRDefault="005A06F9"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1.3%</w:t>
            </w:r>
          </w:p>
        </w:tc>
        <w:tc>
          <w:tcPr>
            <w:tcW w:w="1701" w:type="dxa"/>
          </w:tcPr>
          <w:p w14:paraId="578CE97C" w14:textId="12DC15E5" w:rsidR="0094314C" w:rsidRPr="00826E23" w:rsidRDefault="00C46C36"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1.1%</w:t>
            </w:r>
          </w:p>
        </w:tc>
        <w:tc>
          <w:tcPr>
            <w:tcW w:w="1701" w:type="dxa"/>
          </w:tcPr>
          <w:p w14:paraId="79522852" w14:textId="36311CD7" w:rsidR="0094314C" w:rsidRPr="00826E23" w:rsidRDefault="000D5BFD" w:rsidP="003931B0">
            <w:pPr>
              <w:textAlignment w:val="baseline"/>
              <w:rPr>
                <w:rFonts w:ascii="Arial" w:eastAsia="Times New Roman" w:hAnsi="Arial" w:cs="Arial"/>
                <w:lang w:val="en-GB" w:eastAsia="en-GB"/>
              </w:rPr>
            </w:pPr>
            <w:r w:rsidRPr="00826E23">
              <w:rPr>
                <w:rFonts w:ascii="Arial" w:eastAsia="Times New Roman" w:hAnsi="Arial" w:cs="Arial"/>
                <w:lang w:val="en-GB" w:eastAsia="en-GB"/>
              </w:rPr>
              <w:t>-</w:t>
            </w:r>
            <w:r w:rsidR="002B5C57" w:rsidRPr="00826E23">
              <w:rPr>
                <w:rFonts w:ascii="Arial" w:eastAsia="Times New Roman" w:hAnsi="Arial" w:cs="Arial"/>
                <w:lang w:val="en-GB" w:eastAsia="en-GB"/>
              </w:rPr>
              <w:t>0.5%</w:t>
            </w:r>
          </w:p>
        </w:tc>
      </w:tr>
    </w:tbl>
    <w:p w14:paraId="6D0E3813" w14:textId="134AB1FE" w:rsidR="006F7FB6" w:rsidRPr="00826E23" w:rsidRDefault="00BA5182" w:rsidP="00895A4C">
      <w:pPr>
        <w:spacing w:after="0" w:line="240" w:lineRule="auto"/>
        <w:textAlignment w:val="baseline"/>
        <w:rPr>
          <w:rFonts w:ascii="Arial" w:eastAsia="Times New Roman" w:hAnsi="Arial" w:cs="Arial"/>
          <w:lang w:val="en-GB" w:eastAsia="en-GB"/>
        </w:rPr>
      </w:pPr>
      <w:r w:rsidRPr="00826E23">
        <w:rPr>
          <w:rFonts w:ascii="Arial" w:eastAsia="Times New Roman" w:hAnsi="Arial" w:cs="Arial"/>
          <w:lang w:val="en-GB" w:eastAsia="en-GB"/>
        </w:rPr>
        <w:tab/>
      </w:r>
      <w:r w:rsidRPr="00826E23">
        <w:rPr>
          <w:rFonts w:ascii="Arial" w:hAnsi="Arial" w:cs="Arial"/>
          <w:lang w:val="en-GB"/>
        </w:rPr>
        <w:t>[Note: Approach changed in 2020 to align to Civil Service method using ACSES Data]</w:t>
      </w:r>
    </w:p>
    <w:p w14:paraId="2FE9DD62" w14:textId="77777777" w:rsidR="006F7FB6" w:rsidRPr="00826E23" w:rsidRDefault="006F7FB6" w:rsidP="00895A4C">
      <w:pPr>
        <w:spacing w:after="0" w:line="240" w:lineRule="auto"/>
        <w:textAlignment w:val="baseline"/>
        <w:rPr>
          <w:rFonts w:ascii="Arial" w:eastAsia="Times New Roman" w:hAnsi="Arial" w:cs="Arial"/>
          <w:lang w:val="en-GB" w:eastAsia="en-GB"/>
        </w:rPr>
      </w:pPr>
    </w:p>
    <w:p w14:paraId="33D1AF82" w14:textId="77777777" w:rsidR="006F7FB6" w:rsidRPr="00826E23" w:rsidRDefault="006F7FB6" w:rsidP="00895A4C">
      <w:pPr>
        <w:spacing w:after="0" w:line="240" w:lineRule="auto"/>
        <w:textAlignment w:val="baseline"/>
        <w:rPr>
          <w:rFonts w:ascii="Arial" w:eastAsia="Times New Roman" w:hAnsi="Arial" w:cs="Arial"/>
          <w:lang w:val="en-GB" w:eastAsia="en-GB"/>
        </w:rPr>
      </w:pPr>
    </w:p>
    <w:p w14:paraId="510B084E" w14:textId="77777777" w:rsidR="006F7FB6" w:rsidRPr="00826E23" w:rsidRDefault="006F7FB6" w:rsidP="00895A4C">
      <w:pPr>
        <w:spacing w:after="0" w:line="240" w:lineRule="auto"/>
        <w:textAlignment w:val="baseline"/>
        <w:rPr>
          <w:rFonts w:ascii="Arial" w:eastAsia="Times New Roman" w:hAnsi="Arial" w:cs="Arial"/>
          <w:lang w:val="en-GB" w:eastAsia="en-GB"/>
        </w:rPr>
      </w:pPr>
    </w:p>
    <w:p w14:paraId="77977705" w14:textId="77777777" w:rsidR="000058E5" w:rsidRPr="00826E23" w:rsidRDefault="000058E5">
      <w:pPr>
        <w:rPr>
          <w:rFonts w:ascii="Arial" w:eastAsia="Times New Roman" w:hAnsi="Arial" w:cs="Arial"/>
          <w:color w:val="666666"/>
          <w:sz w:val="18"/>
          <w:szCs w:val="18"/>
          <w:shd w:val="clear" w:color="auto" w:fill="FFFFFF"/>
          <w:lang w:val="en-GB" w:eastAsia="en-GB"/>
        </w:rPr>
      </w:pPr>
      <w:r w:rsidRPr="00826E23">
        <w:rPr>
          <w:rFonts w:ascii="Arial" w:eastAsia="Times New Roman" w:hAnsi="Arial" w:cs="Arial"/>
          <w:color w:val="666666"/>
          <w:sz w:val="18"/>
          <w:szCs w:val="18"/>
          <w:shd w:val="clear" w:color="auto" w:fill="FFFFFF"/>
          <w:lang w:val="en-GB" w:eastAsia="en-GB"/>
        </w:rPr>
        <w:br w:type="page"/>
      </w:r>
    </w:p>
    <w:p w14:paraId="65FA6EF4" w14:textId="683A675A" w:rsidR="00E54137" w:rsidRPr="00826E23" w:rsidRDefault="00895A4C" w:rsidP="007621A5">
      <w:pPr>
        <w:pStyle w:val="Heading2"/>
        <w:rPr>
          <w:rFonts w:ascii="Arial" w:eastAsia="Times New Roman" w:hAnsi="Arial" w:cs="Arial"/>
          <w:b/>
          <w:bCs/>
          <w:lang w:val="en-GB" w:eastAsia="en-GB"/>
        </w:rPr>
      </w:pPr>
      <w:r w:rsidRPr="00826E23">
        <w:rPr>
          <w:rFonts w:ascii="Arial" w:eastAsia="Times New Roman" w:hAnsi="Arial" w:cs="Arial"/>
          <w:color w:val="666666"/>
          <w:sz w:val="18"/>
          <w:szCs w:val="18"/>
          <w:shd w:val="clear" w:color="auto" w:fill="FFFFFF"/>
          <w:lang w:val="en-GB" w:eastAsia="en-GB"/>
        </w:rPr>
        <w:lastRenderedPageBreak/>
        <w:t> </w:t>
      </w:r>
      <w:r w:rsidRPr="00826E23">
        <w:rPr>
          <w:rFonts w:ascii="Arial" w:eastAsia="Times New Roman" w:hAnsi="Arial" w:cs="Arial"/>
          <w:lang w:val="en-GB" w:eastAsia="en-GB"/>
        </w:rPr>
        <w:t> </w:t>
      </w:r>
      <w:bookmarkStart w:id="9" w:name="_Toc124787973"/>
      <w:r w:rsidR="007D1441" w:rsidRPr="00826E23">
        <w:rPr>
          <w:rFonts w:ascii="Arial" w:eastAsia="Times New Roman" w:hAnsi="Arial" w:cs="Arial"/>
          <w:b/>
          <w:bCs/>
          <w:color w:val="auto"/>
          <w:lang w:val="en-GB" w:eastAsia="en-GB"/>
        </w:rPr>
        <w:t>Taking action</w:t>
      </w:r>
      <w:bookmarkEnd w:id="9"/>
    </w:p>
    <w:p w14:paraId="2BFA4F50" w14:textId="77777777" w:rsidR="007621A5" w:rsidRPr="00826E23" w:rsidRDefault="007621A5" w:rsidP="007621A5">
      <w:pPr>
        <w:rPr>
          <w:rFonts w:ascii="Arial" w:hAnsi="Arial" w:cs="Arial"/>
          <w:lang w:val="en-GB" w:eastAsia="en-GB"/>
        </w:rPr>
      </w:pPr>
    </w:p>
    <w:p w14:paraId="74CDD43C" w14:textId="55840101" w:rsidR="00E54137" w:rsidRPr="00826E23" w:rsidRDefault="00E54137">
      <w:pPr>
        <w:rPr>
          <w:rFonts w:ascii="Arial" w:hAnsi="Arial" w:cs="Arial"/>
          <w:lang w:val="en-GB"/>
        </w:rPr>
      </w:pPr>
      <w:r w:rsidRPr="00826E23">
        <w:rPr>
          <w:rFonts w:ascii="Arial" w:hAnsi="Arial" w:cs="Arial"/>
          <w:lang w:val="en-GB"/>
        </w:rPr>
        <w:t xml:space="preserve">In 2021, we published our first Equality, Diversity &amp; Inclusion (ED&amp;I) Strategy. This outlined the Met Office’s ambition to ensure that it remains an inclusive organisation with a diversity of staff and thought, that strategy is supported by an ED&amp;I Action Plan, the actions listed below form part of that plan. Our Equality, </w:t>
      </w:r>
      <w:r w:rsidR="00485581" w:rsidRPr="00826E23">
        <w:rPr>
          <w:rFonts w:ascii="Arial" w:hAnsi="Arial" w:cs="Arial"/>
          <w:lang w:val="en-GB"/>
        </w:rPr>
        <w:t>Diversity,</w:t>
      </w:r>
      <w:r w:rsidRPr="00826E23">
        <w:rPr>
          <w:rFonts w:ascii="Arial" w:hAnsi="Arial" w:cs="Arial"/>
          <w:lang w:val="en-GB"/>
        </w:rPr>
        <w:t xml:space="preserve"> and Inclusion Annual Report 2021-22 details how we met some of our actions in the last year</w:t>
      </w:r>
      <w:r w:rsidRPr="00826E23">
        <w:rPr>
          <w:rFonts w:ascii="Arial" w:hAnsi="Arial" w:cs="Arial"/>
          <w:lang w:val="en-GB"/>
        </w:rPr>
        <w:t>.</w:t>
      </w:r>
    </w:p>
    <w:p w14:paraId="0E1C9D78" w14:textId="77777777" w:rsidR="00E54137" w:rsidRPr="00826E23" w:rsidRDefault="00E54137">
      <w:pPr>
        <w:rPr>
          <w:rFonts w:ascii="Arial" w:hAnsi="Arial" w:cs="Arial"/>
          <w:b/>
          <w:bCs/>
          <w:lang w:val="en-GB"/>
        </w:rPr>
      </w:pPr>
    </w:p>
    <w:tbl>
      <w:tblPr>
        <w:tblStyle w:val="TableGrid"/>
        <w:tblW w:w="0" w:type="auto"/>
        <w:tblLook w:val="04A0" w:firstRow="1" w:lastRow="0" w:firstColumn="1" w:lastColumn="0" w:noHBand="0" w:noVBand="1"/>
      </w:tblPr>
      <w:tblGrid>
        <w:gridCol w:w="4675"/>
        <w:gridCol w:w="4675"/>
      </w:tblGrid>
      <w:tr w:rsidR="005A22CE" w:rsidRPr="00826E23" w14:paraId="6F913693" w14:textId="77777777" w:rsidTr="005A22CE">
        <w:tc>
          <w:tcPr>
            <w:tcW w:w="4675" w:type="dxa"/>
          </w:tcPr>
          <w:p w14:paraId="76BC5E33" w14:textId="7BCB26DA" w:rsidR="005A22CE" w:rsidRPr="00826E23" w:rsidRDefault="002F1778">
            <w:pPr>
              <w:rPr>
                <w:rFonts w:ascii="Arial" w:hAnsi="Arial" w:cs="Arial"/>
                <w:b/>
                <w:bCs/>
                <w:lang w:val="en-GB"/>
              </w:rPr>
            </w:pPr>
            <w:r w:rsidRPr="00826E23">
              <w:rPr>
                <w:rFonts w:ascii="Arial" w:hAnsi="Arial" w:cs="Arial"/>
                <w:b/>
                <w:bCs/>
                <w:lang w:val="en-GB"/>
              </w:rPr>
              <w:t>Action</w:t>
            </w:r>
          </w:p>
        </w:tc>
        <w:tc>
          <w:tcPr>
            <w:tcW w:w="4675" w:type="dxa"/>
          </w:tcPr>
          <w:p w14:paraId="3376CC87" w14:textId="0D77329A" w:rsidR="005A22CE" w:rsidRPr="00826E23" w:rsidRDefault="002F1778">
            <w:pPr>
              <w:rPr>
                <w:rFonts w:ascii="Arial" w:hAnsi="Arial" w:cs="Arial"/>
                <w:b/>
                <w:bCs/>
                <w:lang w:val="en-GB"/>
              </w:rPr>
            </w:pPr>
            <w:r w:rsidRPr="00826E23">
              <w:rPr>
                <w:rFonts w:ascii="Arial" w:hAnsi="Arial" w:cs="Arial"/>
                <w:b/>
                <w:bCs/>
                <w:lang w:val="en-GB"/>
              </w:rPr>
              <w:t>Impact</w:t>
            </w:r>
          </w:p>
        </w:tc>
      </w:tr>
      <w:tr w:rsidR="005A22CE" w:rsidRPr="00826E23" w14:paraId="4F274F2A" w14:textId="77777777" w:rsidTr="005A22CE">
        <w:tc>
          <w:tcPr>
            <w:tcW w:w="4675" w:type="dxa"/>
          </w:tcPr>
          <w:p w14:paraId="30E795F2" w14:textId="3E430796" w:rsidR="005A22CE" w:rsidRPr="00826E23" w:rsidRDefault="002F1778">
            <w:pPr>
              <w:rPr>
                <w:rFonts w:ascii="Arial" w:hAnsi="Arial" w:cs="Arial"/>
                <w:lang w:val="en-GB"/>
              </w:rPr>
            </w:pPr>
            <w:r w:rsidRPr="00826E23">
              <w:rPr>
                <w:rFonts w:ascii="Arial" w:hAnsi="Arial" w:cs="Arial"/>
                <w:lang w:val="en-GB"/>
              </w:rPr>
              <w:t>Resourcing ED&amp;I plan</w:t>
            </w:r>
          </w:p>
        </w:tc>
        <w:tc>
          <w:tcPr>
            <w:tcW w:w="4675" w:type="dxa"/>
          </w:tcPr>
          <w:p w14:paraId="3F703829" w14:textId="0C3F277C" w:rsidR="005A22CE" w:rsidRPr="00826E23" w:rsidRDefault="002F1778">
            <w:pPr>
              <w:rPr>
                <w:rFonts w:ascii="Arial" w:hAnsi="Arial" w:cs="Arial"/>
                <w:lang w:val="en-GB"/>
              </w:rPr>
            </w:pPr>
            <w:r w:rsidRPr="00826E23">
              <w:rPr>
                <w:rFonts w:ascii="Arial" w:hAnsi="Arial" w:cs="Arial"/>
                <w:lang w:val="en-GB"/>
              </w:rPr>
              <w:t>Multi-year action plan which will focus on increasing the representation of under-represented groups at all levels and is evidence led.</w:t>
            </w:r>
          </w:p>
        </w:tc>
      </w:tr>
      <w:tr w:rsidR="005A22CE" w:rsidRPr="00826E23" w14:paraId="1D8D28CC" w14:textId="77777777" w:rsidTr="005A22CE">
        <w:tc>
          <w:tcPr>
            <w:tcW w:w="4675" w:type="dxa"/>
          </w:tcPr>
          <w:p w14:paraId="3214E908" w14:textId="6C16D6D4" w:rsidR="005A22CE" w:rsidRPr="00826E23" w:rsidRDefault="002F1778">
            <w:pPr>
              <w:rPr>
                <w:rFonts w:ascii="Arial" w:hAnsi="Arial" w:cs="Arial"/>
                <w:lang w:val="en-GB"/>
              </w:rPr>
            </w:pPr>
            <w:r w:rsidRPr="00826E23">
              <w:rPr>
                <w:rFonts w:ascii="Arial" w:hAnsi="Arial" w:cs="Arial"/>
                <w:lang w:val="en-GB"/>
              </w:rPr>
              <w:t xml:space="preserve">Developing our Science and Engineering progressions </w:t>
            </w:r>
          </w:p>
        </w:tc>
        <w:tc>
          <w:tcPr>
            <w:tcW w:w="4675" w:type="dxa"/>
          </w:tcPr>
          <w:p w14:paraId="673CAB86" w14:textId="433C6E8A" w:rsidR="005A22CE" w:rsidRPr="00826E23" w:rsidRDefault="002F1778">
            <w:pPr>
              <w:rPr>
                <w:rFonts w:ascii="Arial" w:hAnsi="Arial" w:cs="Arial"/>
                <w:lang w:val="en-GB"/>
              </w:rPr>
            </w:pPr>
            <w:r w:rsidRPr="00826E23">
              <w:rPr>
                <w:rFonts w:ascii="Arial" w:hAnsi="Arial" w:cs="Arial"/>
                <w:lang w:val="en-GB"/>
              </w:rPr>
              <w:t>Aligning our processes with best practice to ensure opportunities to progress are open to all.</w:t>
            </w:r>
          </w:p>
        </w:tc>
      </w:tr>
      <w:tr w:rsidR="005A22CE" w:rsidRPr="00826E23" w14:paraId="2D9F7102" w14:textId="77777777" w:rsidTr="005A22CE">
        <w:tc>
          <w:tcPr>
            <w:tcW w:w="4675" w:type="dxa"/>
          </w:tcPr>
          <w:p w14:paraId="4B62C9EA" w14:textId="493D033B" w:rsidR="005A22CE" w:rsidRPr="00826E23" w:rsidRDefault="002F1778">
            <w:pPr>
              <w:rPr>
                <w:rFonts w:ascii="Arial" w:hAnsi="Arial" w:cs="Arial"/>
                <w:lang w:val="en-GB"/>
              </w:rPr>
            </w:pPr>
            <w:r w:rsidRPr="00826E23">
              <w:rPr>
                <w:rFonts w:ascii="Arial" w:hAnsi="Arial" w:cs="Arial"/>
                <w:lang w:val="en-GB"/>
              </w:rPr>
              <w:t>Dignity at work guidance</w:t>
            </w:r>
          </w:p>
        </w:tc>
        <w:tc>
          <w:tcPr>
            <w:tcW w:w="4675" w:type="dxa"/>
          </w:tcPr>
          <w:p w14:paraId="27E8EB81" w14:textId="58A1F2BA" w:rsidR="005A22CE" w:rsidRPr="00826E23" w:rsidRDefault="002F1778">
            <w:pPr>
              <w:rPr>
                <w:rFonts w:ascii="Arial" w:hAnsi="Arial" w:cs="Arial"/>
                <w:lang w:val="en-GB"/>
              </w:rPr>
            </w:pPr>
            <w:r w:rsidRPr="00826E23">
              <w:rPr>
                <w:rFonts w:ascii="Arial" w:hAnsi="Arial" w:cs="Arial"/>
                <w:lang w:val="en-GB"/>
              </w:rPr>
              <w:t>Ensure that sexual harassment is included in-line with Equality &amp; Human Rights Commission recommendations.</w:t>
            </w:r>
          </w:p>
        </w:tc>
      </w:tr>
      <w:tr w:rsidR="002F1778" w:rsidRPr="00826E23" w14:paraId="377E7D06" w14:textId="77777777" w:rsidTr="005A22CE">
        <w:tc>
          <w:tcPr>
            <w:tcW w:w="4675" w:type="dxa"/>
          </w:tcPr>
          <w:p w14:paraId="63BCBB35" w14:textId="5226C336" w:rsidR="002F1778" w:rsidRPr="00826E23" w:rsidRDefault="002F1778">
            <w:pPr>
              <w:rPr>
                <w:rFonts w:ascii="Arial" w:hAnsi="Arial" w:cs="Arial"/>
                <w:lang w:val="en-GB"/>
              </w:rPr>
            </w:pPr>
            <w:r w:rsidRPr="00826E23">
              <w:rPr>
                <w:rFonts w:ascii="Arial" w:hAnsi="Arial" w:cs="Arial"/>
                <w:lang w:val="en-GB"/>
              </w:rPr>
              <w:t>Embedding Equality Impact Assessments</w:t>
            </w:r>
          </w:p>
        </w:tc>
        <w:tc>
          <w:tcPr>
            <w:tcW w:w="4675" w:type="dxa"/>
          </w:tcPr>
          <w:p w14:paraId="5A66DECE" w14:textId="6E3699C0" w:rsidR="002F1778" w:rsidRPr="00826E23" w:rsidRDefault="002F1778">
            <w:pPr>
              <w:rPr>
                <w:rFonts w:ascii="Arial" w:hAnsi="Arial" w:cs="Arial"/>
                <w:lang w:val="en-GB"/>
              </w:rPr>
            </w:pPr>
            <w:r w:rsidRPr="00826E23">
              <w:rPr>
                <w:rFonts w:ascii="Arial" w:hAnsi="Arial" w:cs="Arial"/>
                <w:lang w:val="en-GB"/>
              </w:rPr>
              <w:t>Putting equality at the heart of decision making and raising improved awareness through training.</w:t>
            </w:r>
          </w:p>
        </w:tc>
      </w:tr>
      <w:tr w:rsidR="002F1778" w:rsidRPr="00826E23" w14:paraId="5B3E8046" w14:textId="77777777" w:rsidTr="005A22CE">
        <w:tc>
          <w:tcPr>
            <w:tcW w:w="4675" w:type="dxa"/>
          </w:tcPr>
          <w:p w14:paraId="01EE1F1B" w14:textId="63A1ED57" w:rsidR="002F1778" w:rsidRPr="00826E23" w:rsidRDefault="002F1778">
            <w:pPr>
              <w:rPr>
                <w:rFonts w:ascii="Arial" w:hAnsi="Arial" w:cs="Arial"/>
                <w:lang w:val="en-GB"/>
              </w:rPr>
            </w:pPr>
            <w:r w:rsidRPr="00826E23">
              <w:rPr>
                <w:rFonts w:ascii="Arial" w:hAnsi="Arial" w:cs="Arial"/>
                <w:lang w:val="en-GB"/>
              </w:rPr>
              <w:t>Continuing to use story telling in our media publications</w:t>
            </w:r>
          </w:p>
        </w:tc>
        <w:tc>
          <w:tcPr>
            <w:tcW w:w="4675" w:type="dxa"/>
          </w:tcPr>
          <w:p w14:paraId="272BED62" w14:textId="66AF45C3" w:rsidR="002F1778" w:rsidRPr="00826E23" w:rsidRDefault="002F1778">
            <w:pPr>
              <w:rPr>
                <w:rFonts w:ascii="Arial" w:hAnsi="Arial" w:cs="Arial"/>
                <w:lang w:val="en-GB"/>
              </w:rPr>
            </w:pPr>
            <w:r w:rsidRPr="00826E23">
              <w:rPr>
                <w:rFonts w:ascii="Arial" w:hAnsi="Arial" w:cs="Arial"/>
                <w:lang w:val="en-GB"/>
              </w:rPr>
              <w:t>Sharing stories about our employees creates visible role models and increases representation.</w:t>
            </w:r>
          </w:p>
        </w:tc>
      </w:tr>
    </w:tbl>
    <w:p w14:paraId="5BAFF790" w14:textId="77777777" w:rsidR="005A22CE" w:rsidRPr="00826E23" w:rsidRDefault="005A22CE">
      <w:pPr>
        <w:rPr>
          <w:rFonts w:ascii="Arial" w:hAnsi="Arial" w:cs="Arial"/>
          <w:lang w:val="en-GB"/>
        </w:rPr>
      </w:pPr>
    </w:p>
    <w:p w14:paraId="4E8048B7" w14:textId="27E3A1C6" w:rsidR="00895A4C" w:rsidRPr="00826E23" w:rsidRDefault="007D1441" w:rsidP="007621A5">
      <w:pPr>
        <w:rPr>
          <w:rFonts w:ascii="Arial" w:eastAsia="Times New Roman" w:hAnsi="Arial" w:cs="Arial"/>
          <w:color w:val="2F5496" w:themeColor="accent1" w:themeShade="BF"/>
          <w:sz w:val="26"/>
          <w:szCs w:val="26"/>
          <w:lang w:val="en-GB" w:eastAsia="en-GB"/>
        </w:rPr>
      </w:pPr>
      <w:r w:rsidRPr="00826E23">
        <w:rPr>
          <w:rFonts w:ascii="Arial" w:eastAsia="Times New Roman" w:hAnsi="Arial" w:cs="Arial"/>
          <w:lang w:val="en-GB" w:eastAsia="en-GB"/>
        </w:rPr>
        <w:br w:type="page"/>
      </w:r>
    </w:p>
    <w:p w14:paraId="771F4A82" w14:textId="77777777" w:rsidR="00895A4C" w:rsidRPr="00826E23" w:rsidRDefault="00895A4C" w:rsidP="007437E7">
      <w:pPr>
        <w:pStyle w:val="Heading2"/>
        <w:rPr>
          <w:rFonts w:ascii="Arial" w:eastAsia="Times New Roman" w:hAnsi="Arial" w:cs="Arial"/>
          <w:b/>
          <w:bCs/>
          <w:color w:val="auto"/>
          <w:lang w:val="en-GB" w:eastAsia="en-GB"/>
        </w:rPr>
      </w:pPr>
      <w:bookmarkStart w:id="10" w:name="_Toc124787974"/>
      <w:r w:rsidRPr="00826E23">
        <w:rPr>
          <w:rFonts w:ascii="Arial" w:eastAsia="Times New Roman" w:hAnsi="Arial" w:cs="Arial"/>
          <w:b/>
          <w:bCs/>
          <w:color w:val="auto"/>
          <w:lang w:val="en-GB" w:eastAsia="en-GB"/>
        </w:rPr>
        <w:t>Declaration</w:t>
      </w:r>
      <w:bookmarkEnd w:id="10"/>
      <w:r w:rsidRPr="00826E23">
        <w:rPr>
          <w:rFonts w:ascii="Arial" w:eastAsia="Times New Roman" w:hAnsi="Arial" w:cs="Arial"/>
          <w:b/>
          <w:bCs/>
          <w:color w:val="auto"/>
          <w:lang w:val="en-GB" w:eastAsia="en-GB"/>
        </w:rPr>
        <w:t> </w:t>
      </w:r>
    </w:p>
    <w:p w14:paraId="0E640B68" w14:textId="77777777" w:rsidR="00D2070E" w:rsidRPr="00826E23" w:rsidRDefault="00D2070E" w:rsidP="00895A4C">
      <w:pPr>
        <w:spacing w:after="0" w:line="240" w:lineRule="auto"/>
        <w:textAlignment w:val="baseline"/>
        <w:rPr>
          <w:rFonts w:ascii="Arial" w:hAnsi="Arial" w:cs="Arial"/>
          <w:lang w:val="en-GB"/>
        </w:rPr>
      </w:pPr>
    </w:p>
    <w:p w14:paraId="61C7D523" w14:textId="4E4599DF" w:rsidR="00895A4C" w:rsidRPr="00826E23" w:rsidRDefault="00D2070E" w:rsidP="00895A4C">
      <w:pPr>
        <w:spacing w:after="0" w:line="240" w:lineRule="auto"/>
        <w:textAlignment w:val="baseline"/>
        <w:rPr>
          <w:rFonts w:ascii="Arial" w:eastAsia="Times New Roman" w:hAnsi="Arial" w:cs="Arial"/>
          <w:lang w:val="en-GB" w:eastAsia="en-GB"/>
        </w:rPr>
      </w:pPr>
      <w:r w:rsidRPr="00826E23">
        <w:rPr>
          <w:rFonts w:ascii="Arial" w:hAnsi="Arial" w:cs="Arial"/>
          <w:lang w:val="en-GB"/>
        </w:rPr>
        <w:t>We confirm that the data reported by the Met Office is accurate and has been calculated according to the requirements and methodology set out in the Equality Act 2010 (Specific Duties and Public Authorities) Regulations 2017</w:t>
      </w:r>
      <w:r w:rsidR="007621A5" w:rsidRPr="00826E23">
        <w:rPr>
          <w:rFonts w:ascii="Arial" w:eastAsia="Times New Roman" w:hAnsi="Arial" w:cs="Arial"/>
          <w:lang w:val="en-GB" w:eastAsia="en-GB"/>
        </w:rPr>
        <w:t>.</w:t>
      </w:r>
    </w:p>
    <w:p w14:paraId="7686EA40" w14:textId="77777777" w:rsidR="00D2070E" w:rsidRPr="00895A4C" w:rsidRDefault="00D2070E" w:rsidP="00895A4C">
      <w:pPr>
        <w:spacing w:after="0" w:line="240" w:lineRule="auto"/>
        <w:textAlignment w:val="baseline"/>
        <w:rPr>
          <w:rFonts w:ascii="Arial" w:eastAsia="Times New Roman" w:hAnsi="Arial" w:cs="Arial"/>
          <w:sz w:val="18"/>
          <w:szCs w:val="18"/>
          <w:lang w:val="en-GB" w:eastAsia="en-GB"/>
        </w:rPr>
      </w:pPr>
    </w:p>
    <w:p w14:paraId="43FA5EE4" w14:textId="77777777" w:rsidR="007621A5" w:rsidRPr="00826E23" w:rsidRDefault="007621A5" w:rsidP="00895A4C">
      <w:pPr>
        <w:spacing w:after="0" w:line="240" w:lineRule="auto"/>
        <w:textAlignment w:val="baseline"/>
        <w:rPr>
          <w:rFonts w:ascii="Arial" w:eastAsia="Times New Roman" w:hAnsi="Arial" w:cs="Arial"/>
          <w:lang w:val="en-GB" w:eastAsia="en-GB"/>
        </w:rPr>
      </w:pPr>
    </w:p>
    <w:p w14:paraId="4A4877FB" w14:textId="62C1E851" w:rsidR="00895A4C" w:rsidRPr="00895A4C" w:rsidRDefault="00895A4C" w:rsidP="00895A4C">
      <w:pPr>
        <w:spacing w:after="0" w:line="240" w:lineRule="auto"/>
        <w:textAlignment w:val="baseline"/>
        <w:rPr>
          <w:rFonts w:ascii="Arial" w:eastAsia="Times New Roman" w:hAnsi="Arial" w:cs="Arial"/>
          <w:sz w:val="18"/>
          <w:szCs w:val="18"/>
          <w:lang w:val="en-GB" w:eastAsia="en-GB"/>
        </w:rPr>
      </w:pPr>
      <w:r w:rsidRPr="00895A4C">
        <w:rPr>
          <w:rFonts w:ascii="Arial" w:eastAsia="Times New Roman" w:hAnsi="Arial" w:cs="Arial"/>
          <w:lang w:val="en-GB" w:eastAsia="en-GB"/>
        </w:rPr>
        <w:t xml:space="preserve">Penny Endersby, Chief Executive </w:t>
      </w:r>
      <w:r w:rsidRPr="00895A4C">
        <w:rPr>
          <w:rFonts w:ascii="Arial" w:eastAsia="Times New Roman" w:hAnsi="Arial" w:cs="Arial"/>
          <w:lang w:val="en-GB" w:eastAsia="en-GB"/>
        </w:rPr>
        <w:tab/>
      </w:r>
      <w:r w:rsidRPr="00895A4C">
        <w:rPr>
          <w:rFonts w:ascii="Arial" w:eastAsia="Times New Roman" w:hAnsi="Arial" w:cs="Arial"/>
          <w:lang w:val="en-GB" w:eastAsia="en-GB"/>
        </w:rPr>
        <w:tab/>
      </w:r>
      <w:r w:rsidRPr="00895A4C">
        <w:rPr>
          <w:rFonts w:ascii="Arial" w:eastAsia="Times New Roman" w:hAnsi="Arial" w:cs="Arial"/>
          <w:lang w:val="en-GB" w:eastAsia="en-GB"/>
        </w:rPr>
        <w:tab/>
        <w:t>Tammy Lillie, Chief People Office</w:t>
      </w:r>
      <w:r w:rsidR="00D2070E" w:rsidRPr="00826E23">
        <w:rPr>
          <w:rFonts w:ascii="Arial" w:eastAsia="Times New Roman" w:hAnsi="Arial" w:cs="Arial"/>
          <w:lang w:val="en-GB" w:eastAsia="en-GB"/>
        </w:rPr>
        <w:t>r</w:t>
      </w:r>
    </w:p>
    <w:p w14:paraId="2C078E63" w14:textId="77777777" w:rsidR="0044725C" w:rsidRPr="00826E23" w:rsidRDefault="0044725C">
      <w:pPr>
        <w:rPr>
          <w:rFonts w:ascii="Arial" w:hAnsi="Arial" w:cs="Arial"/>
          <w:lang w:val="en-GB"/>
        </w:rPr>
      </w:pPr>
    </w:p>
    <w:sectPr w:rsidR="0044725C" w:rsidRPr="00826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8FD"/>
    <w:multiLevelType w:val="multilevel"/>
    <w:tmpl w:val="363C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A10DC"/>
    <w:multiLevelType w:val="multilevel"/>
    <w:tmpl w:val="E5D0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9B0B2F"/>
    <w:multiLevelType w:val="hybridMultilevel"/>
    <w:tmpl w:val="6F12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8C230A"/>
    <w:multiLevelType w:val="hybridMultilevel"/>
    <w:tmpl w:val="02FA8A02"/>
    <w:lvl w:ilvl="0" w:tplc="E592D576">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E63A0D"/>
    <w:multiLevelType w:val="multilevel"/>
    <w:tmpl w:val="7EF4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23598"/>
    <w:multiLevelType w:val="hybridMultilevel"/>
    <w:tmpl w:val="A7F61EAE"/>
    <w:lvl w:ilvl="0" w:tplc="E592D576">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6B95030C"/>
    <w:multiLevelType w:val="multilevel"/>
    <w:tmpl w:val="3520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3E1821"/>
    <w:multiLevelType w:val="multilevel"/>
    <w:tmpl w:val="ACA0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284252"/>
    <w:multiLevelType w:val="hybridMultilevel"/>
    <w:tmpl w:val="ED7C696E"/>
    <w:lvl w:ilvl="0" w:tplc="E592D576">
      <w:numFmt w:val="bullet"/>
      <w:lvlText w:val="•"/>
      <w:lvlJc w:val="left"/>
      <w:pPr>
        <w:ind w:left="77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7"/>
  </w:num>
  <w:num w:numId="5">
    <w:abstractNumId w:val="1"/>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86098E"/>
    <w:rsid w:val="000026A8"/>
    <w:rsid w:val="00003561"/>
    <w:rsid w:val="000058E5"/>
    <w:rsid w:val="000826D6"/>
    <w:rsid w:val="000B3DEB"/>
    <w:rsid w:val="000B4E2F"/>
    <w:rsid w:val="000D5BFD"/>
    <w:rsid w:val="000E680A"/>
    <w:rsid w:val="001029B3"/>
    <w:rsid w:val="00111EDB"/>
    <w:rsid w:val="00112B1B"/>
    <w:rsid w:val="001204BD"/>
    <w:rsid w:val="00142B73"/>
    <w:rsid w:val="00195937"/>
    <w:rsid w:val="0019699B"/>
    <w:rsid w:val="001B734D"/>
    <w:rsid w:val="001D4468"/>
    <w:rsid w:val="001D64A8"/>
    <w:rsid w:val="001E23B5"/>
    <w:rsid w:val="00211669"/>
    <w:rsid w:val="0022786A"/>
    <w:rsid w:val="00262BA3"/>
    <w:rsid w:val="002B5C57"/>
    <w:rsid w:val="002D3CCA"/>
    <w:rsid w:val="002F03B7"/>
    <w:rsid w:val="002F1778"/>
    <w:rsid w:val="00324E4C"/>
    <w:rsid w:val="003931B0"/>
    <w:rsid w:val="00394858"/>
    <w:rsid w:val="003A258F"/>
    <w:rsid w:val="003A3D0D"/>
    <w:rsid w:val="003B3C0E"/>
    <w:rsid w:val="003D60C1"/>
    <w:rsid w:val="004012A5"/>
    <w:rsid w:val="0041659C"/>
    <w:rsid w:val="0044725C"/>
    <w:rsid w:val="00461E4C"/>
    <w:rsid w:val="00485581"/>
    <w:rsid w:val="004A479B"/>
    <w:rsid w:val="004C1842"/>
    <w:rsid w:val="004E2B24"/>
    <w:rsid w:val="004F0F7D"/>
    <w:rsid w:val="00502719"/>
    <w:rsid w:val="00507F3A"/>
    <w:rsid w:val="005117C1"/>
    <w:rsid w:val="00513CB6"/>
    <w:rsid w:val="00550D80"/>
    <w:rsid w:val="00556768"/>
    <w:rsid w:val="005A06F9"/>
    <w:rsid w:val="005A22CE"/>
    <w:rsid w:val="005A636C"/>
    <w:rsid w:val="005C72DD"/>
    <w:rsid w:val="0062409E"/>
    <w:rsid w:val="00645E13"/>
    <w:rsid w:val="0068247D"/>
    <w:rsid w:val="006C1DC8"/>
    <w:rsid w:val="006C590E"/>
    <w:rsid w:val="006C7FC0"/>
    <w:rsid w:val="006F7FB6"/>
    <w:rsid w:val="007032FC"/>
    <w:rsid w:val="00703EE3"/>
    <w:rsid w:val="00717B59"/>
    <w:rsid w:val="00740700"/>
    <w:rsid w:val="007437E7"/>
    <w:rsid w:val="00747D2A"/>
    <w:rsid w:val="007621A5"/>
    <w:rsid w:val="0076555D"/>
    <w:rsid w:val="007936F4"/>
    <w:rsid w:val="007B79F2"/>
    <w:rsid w:val="007D1441"/>
    <w:rsid w:val="007D736A"/>
    <w:rsid w:val="007E2CE9"/>
    <w:rsid w:val="00826E23"/>
    <w:rsid w:val="00861255"/>
    <w:rsid w:val="008665DB"/>
    <w:rsid w:val="00895A4C"/>
    <w:rsid w:val="00931DE5"/>
    <w:rsid w:val="009366A0"/>
    <w:rsid w:val="0094314C"/>
    <w:rsid w:val="00954863"/>
    <w:rsid w:val="0096416F"/>
    <w:rsid w:val="009752C1"/>
    <w:rsid w:val="0098288C"/>
    <w:rsid w:val="009C3FD2"/>
    <w:rsid w:val="009D1FF1"/>
    <w:rsid w:val="00A014A5"/>
    <w:rsid w:val="00A06FFD"/>
    <w:rsid w:val="00A1254B"/>
    <w:rsid w:val="00A32091"/>
    <w:rsid w:val="00A94192"/>
    <w:rsid w:val="00AD2AAE"/>
    <w:rsid w:val="00AF385D"/>
    <w:rsid w:val="00B45F37"/>
    <w:rsid w:val="00BA4540"/>
    <w:rsid w:val="00BA5182"/>
    <w:rsid w:val="00BD4AC6"/>
    <w:rsid w:val="00BE7C5F"/>
    <w:rsid w:val="00C115D4"/>
    <w:rsid w:val="00C1299C"/>
    <w:rsid w:val="00C35460"/>
    <w:rsid w:val="00C46C36"/>
    <w:rsid w:val="00C54911"/>
    <w:rsid w:val="00C67C9B"/>
    <w:rsid w:val="00C93C43"/>
    <w:rsid w:val="00CD2451"/>
    <w:rsid w:val="00CF2618"/>
    <w:rsid w:val="00D2070E"/>
    <w:rsid w:val="00D234A4"/>
    <w:rsid w:val="00D252A6"/>
    <w:rsid w:val="00DA416B"/>
    <w:rsid w:val="00E05C17"/>
    <w:rsid w:val="00E54137"/>
    <w:rsid w:val="00E70BE2"/>
    <w:rsid w:val="00E96A38"/>
    <w:rsid w:val="00EF1087"/>
    <w:rsid w:val="00F13BB4"/>
    <w:rsid w:val="00F4703F"/>
    <w:rsid w:val="00F60EFF"/>
    <w:rsid w:val="00F84B18"/>
    <w:rsid w:val="00FB1127"/>
    <w:rsid w:val="00FD5CA4"/>
    <w:rsid w:val="0D0FE042"/>
    <w:rsid w:val="1B939DBE"/>
    <w:rsid w:val="291781D8"/>
    <w:rsid w:val="3886098E"/>
    <w:rsid w:val="4670D2C0"/>
    <w:rsid w:val="5925F3B5"/>
    <w:rsid w:val="60829F38"/>
    <w:rsid w:val="622A30F5"/>
    <w:rsid w:val="624A3E2B"/>
    <w:rsid w:val="7688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098E"/>
  <w15:chartTrackingRefBased/>
  <w15:docId w15:val="{27337414-E99A-48E2-B85E-1A43CB29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4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24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44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95A4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95A4C"/>
  </w:style>
  <w:style w:type="character" w:customStyle="1" w:styleId="eop">
    <w:name w:val="eop"/>
    <w:basedOn w:val="DefaultParagraphFont"/>
    <w:rsid w:val="00895A4C"/>
  </w:style>
  <w:style w:type="character" w:customStyle="1" w:styleId="pagebreaktextspan">
    <w:name w:val="pagebreaktextspan"/>
    <w:basedOn w:val="DefaultParagraphFont"/>
    <w:rsid w:val="00895A4C"/>
  </w:style>
  <w:style w:type="character" w:customStyle="1" w:styleId="tabchar">
    <w:name w:val="tabchar"/>
    <w:basedOn w:val="DefaultParagraphFont"/>
    <w:rsid w:val="00895A4C"/>
  </w:style>
  <w:style w:type="character" w:customStyle="1" w:styleId="Heading1Char">
    <w:name w:val="Heading 1 Char"/>
    <w:basedOn w:val="DefaultParagraphFont"/>
    <w:link w:val="Heading1"/>
    <w:uiPriority w:val="9"/>
    <w:rsid w:val="00CD24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D24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D4468"/>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BA45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540"/>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6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AAE"/>
    <w:pPr>
      <w:ind w:left="720"/>
      <w:contextualSpacing/>
    </w:pPr>
  </w:style>
  <w:style w:type="paragraph" w:styleId="Subtitle">
    <w:name w:val="Subtitle"/>
    <w:basedOn w:val="Normal"/>
    <w:next w:val="Normal"/>
    <w:link w:val="SubtitleChar"/>
    <w:uiPriority w:val="11"/>
    <w:qFormat/>
    <w:rsid w:val="005567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56768"/>
    <w:rPr>
      <w:rFonts w:eastAsiaTheme="minorEastAsia"/>
      <w:color w:val="5A5A5A" w:themeColor="text1" w:themeTint="A5"/>
      <w:spacing w:val="15"/>
    </w:rPr>
  </w:style>
  <w:style w:type="paragraph" w:styleId="TOCHeading">
    <w:name w:val="TOC Heading"/>
    <w:basedOn w:val="Heading1"/>
    <w:next w:val="Normal"/>
    <w:uiPriority w:val="39"/>
    <w:unhideWhenUsed/>
    <w:qFormat/>
    <w:rsid w:val="00FD5CA4"/>
    <w:pPr>
      <w:outlineLvl w:val="9"/>
    </w:pPr>
  </w:style>
  <w:style w:type="paragraph" w:styleId="TOC2">
    <w:name w:val="toc 2"/>
    <w:basedOn w:val="Normal"/>
    <w:next w:val="Normal"/>
    <w:autoRedefine/>
    <w:uiPriority w:val="39"/>
    <w:unhideWhenUsed/>
    <w:rsid w:val="00FD5CA4"/>
    <w:pPr>
      <w:spacing w:after="100"/>
      <w:ind w:left="220"/>
    </w:pPr>
  </w:style>
  <w:style w:type="paragraph" w:styleId="TOC3">
    <w:name w:val="toc 3"/>
    <w:basedOn w:val="Normal"/>
    <w:next w:val="Normal"/>
    <w:autoRedefine/>
    <w:uiPriority w:val="39"/>
    <w:unhideWhenUsed/>
    <w:rsid w:val="00FD5CA4"/>
    <w:pPr>
      <w:spacing w:after="100"/>
      <w:ind w:left="440"/>
    </w:pPr>
  </w:style>
  <w:style w:type="character" w:styleId="Hyperlink">
    <w:name w:val="Hyperlink"/>
    <w:basedOn w:val="DefaultParagraphFont"/>
    <w:uiPriority w:val="99"/>
    <w:unhideWhenUsed/>
    <w:rsid w:val="00FD5C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631040">
      <w:bodyDiv w:val="1"/>
      <w:marLeft w:val="0"/>
      <w:marRight w:val="0"/>
      <w:marTop w:val="0"/>
      <w:marBottom w:val="0"/>
      <w:divBdr>
        <w:top w:val="none" w:sz="0" w:space="0" w:color="auto"/>
        <w:left w:val="none" w:sz="0" w:space="0" w:color="auto"/>
        <w:bottom w:val="none" w:sz="0" w:space="0" w:color="auto"/>
        <w:right w:val="none" w:sz="0" w:space="0" w:color="auto"/>
      </w:divBdr>
      <w:divsChild>
        <w:div w:id="254822894">
          <w:marLeft w:val="0"/>
          <w:marRight w:val="0"/>
          <w:marTop w:val="0"/>
          <w:marBottom w:val="0"/>
          <w:divBdr>
            <w:top w:val="none" w:sz="0" w:space="0" w:color="auto"/>
            <w:left w:val="none" w:sz="0" w:space="0" w:color="auto"/>
            <w:bottom w:val="none" w:sz="0" w:space="0" w:color="auto"/>
            <w:right w:val="none" w:sz="0" w:space="0" w:color="auto"/>
          </w:divBdr>
        </w:div>
        <w:div w:id="1032682673">
          <w:marLeft w:val="0"/>
          <w:marRight w:val="0"/>
          <w:marTop w:val="0"/>
          <w:marBottom w:val="0"/>
          <w:divBdr>
            <w:top w:val="none" w:sz="0" w:space="0" w:color="auto"/>
            <w:left w:val="none" w:sz="0" w:space="0" w:color="auto"/>
            <w:bottom w:val="none" w:sz="0" w:space="0" w:color="auto"/>
            <w:right w:val="none" w:sz="0" w:space="0" w:color="auto"/>
          </w:divBdr>
        </w:div>
        <w:div w:id="784468035">
          <w:marLeft w:val="0"/>
          <w:marRight w:val="0"/>
          <w:marTop w:val="0"/>
          <w:marBottom w:val="0"/>
          <w:divBdr>
            <w:top w:val="none" w:sz="0" w:space="0" w:color="auto"/>
            <w:left w:val="none" w:sz="0" w:space="0" w:color="auto"/>
            <w:bottom w:val="none" w:sz="0" w:space="0" w:color="auto"/>
            <w:right w:val="none" w:sz="0" w:space="0" w:color="auto"/>
          </w:divBdr>
        </w:div>
        <w:div w:id="209733582">
          <w:marLeft w:val="0"/>
          <w:marRight w:val="0"/>
          <w:marTop w:val="0"/>
          <w:marBottom w:val="0"/>
          <w:divBdr>
            <w:top w:val="none" w:sz="0" w:space="0" w:color="auto"/>
            <w:left w:val="none" w:sz="0" w:space="0" w:color="auto"/>
            <w:bottom w:val="none" w:sz="0" w:space="0" w:color="auto"/>
            <w:right w:val="none" w:sz="0" w:space="0" w:color="auto"/>
          </w:divBdr>
        </w:div>
        <w:div w:id="977880899">
          <w:marLeft w:val="0"/>
          <w:marRight w:val="0"/>
          <w:marTop w:val="0"/>
          <w:marBottom w:val="0"/>
          <w:divBdr>
            <w:top w:val="none" w:sz="0" w:space="0" w:color="auto"/>
            <w:left w:val="none" w:sz="0" w:space="0" w:color="auto"/>
            <w:bottom w:val="none" w:sz="0" w:space="0" w:color="auto"/>
            <w:right w:val="none" w:sz="0" w:space="0" w:color="auto"/>
          </w:divBdr>
        </w:div>
        <w:div w:id="1862041566">
          <w:marLeft w:val="0"/>
          <w:marRight w:val="0"/>
          <w:marTop w:val="0"/>
          <w:marBottom w:val="0"/>
          <w:divBdr>
            <w:top w:val="none" w:sz="0" w:space="0" w:color="auto"/>
            <w:left w:val="none" w:sz="0" w:space="0" w:color="auto"/>
            <w:bottom w:val="none" w:sz="0" w:space="0" w:color="auto"/>
            <w:right w:val="none" w:sz="0" w:space="0" w:color="auto"/>
          </w:divBdr>
        </w:div>
        <w:div w:id="463231429">
          <w:marLeft w:val="0"/>
          <w:marRight w:val="0"/>
          <w:marTop w:val="0"/>
          <w:marBottom w:val="0"/>
          <w:divBdr>
            <w:top w:val="none" w:sz="0" w:space="0" w:color="auto"/>
            <w:left w:val="none" w:sz="0" w:space="0" w:color="auto"/>
            <w:bottom w:val="none" w:sz="0" w:space="0" w:color="auto"/>
            <w:right w:val="none" w:sz="0" w:space="0" w:color="auto"/>
          </w:divBdr>
        </w:div>
        <w:div w:id="156582159">
          <w:marLeft w:val="0"/>
          <w:marRight w:val="0"/>
          <w:marTop w:val="0"/>
          <w:marBottom w:val="0"/>
          <w:divBdr>
            <w:top w:val="none" w:sz="0" w:space="0" w:color="auto"/>
            <w:left w:val="none" w:sz="0" w:space="0" w:color="auto"/>
            <w:bottom w:val="none" w:sz="0" w:space="0" w:color="auto"/>
            <w:right w:val="none" w:sz="0" w:space="0" w:color="auto"/>
          </w:divBdr>
        </w:div>
        <w:div w:id="27268537">
          <w:marLeft w:val="0"/>
          <w:marRight w:val="0"/>
          <w:marTop w:val="0"/>
          <w:marBottom w:val="0"/>
          <w:divBdr>
            <w:top w:val="none" w:sz="0" w:space="0" w:color="auto"/>
            <w:left w:val="none" w:sz="0" w:space="0" w:color="auto"/>
            <w:bottom w:val="none" w:sz="0" w:space="0" w:color="auto"/>
            <w:right w:val="none" w:sz="0" w:space="0" w:color="auto"/>
          </w:divBdr>
        </w:div>
        <w:div w:id="1554541121">
          <w:marLeft w:val="0"/>
          <w:marRight w:val="0"/>
          <w:marTop w:val="0"/>
          <w:marBottom w:val="0"/>
          <w:divBdr>
            <w:top w:val="none" w:sz="0" w:space="0" w:color="auto"/>
            <w:left w:val="none" w:sz="0" w:space="0" w:color="auto"/>
            <w:bottom w:val="none" w:sz="0" w:space="0" w:color="auto"/>
            <w:right w:val="none" w:sz="0" w:space="0" w:color="auto"/>
          </w:divBdr>
        </w:div>
        <w:div w:id="1787501581">
          <w:marLeft w:val="0"/>
          <w:marRight w:val="0"/>
          <w:marTop w:val="0"/>
          <w:marBottom w:val="0"/>
          <w:divBdr>
            <w:top w:val="none" w:sz="0" w:space="0" w:color="auto"/>
            <w:left w:val="none" w:sz="0" w:space="0" w:color="auto"/>
            <w:bottom w:val="none" w:sz="0" w:space="0" w:color="auto"/>
            <w:right w:val="none" w:sz="0" w:space="0" w:color="auto"/>
          </w:divBdr>
        </w:div>
        <w:div w:id="746999399">
          <w:marLeft w:val="0"/>
          <w:marRight w:val="0"/>
          <w:marTop w:val="0"/>
          <w:marBottom w:val="0"/>
          <w:divBdr>
            <w:top w:val="none" w:sz="0" w:space="0" w:color="auto"/>
            <w:left w:val="none" w:sz="0" w:space="0" w:color="auto"/>
            <w:bottom w:val="none" w:sz="0" w:space="0" w:color="auto"/>
            <w:right w:val="none" w:sz="0" w:space="0" w:color="auto"/>
          </w:divBdr>
        </w:div>
        <w:div w:id="1942763915">
          <w:marLeft w:val="0"/>
          <w:marRight w:val="0"/>
          <w:marTop w:val="0"/>
          <w:marBottom w:val="0"/>
          <w:divBdr>
            <w:top w:val="none" w:sz="0" w:space="0" w:color="auto"/>
            <w:left w:val="none" w:sz="0" w:space="0" w:color="auto"/>
            <w:bottom w:val="none" w:sz="0" w:space="0" w:color="auto"/>
            <w:right w:val="none" w:sz="0" w:space="0" w:color="auto"/>
          </w:divBdr>
        </w:div>
        <w:div w:id="543324884">
          <w:marLeft w:val="0"/>
          <w:marRight w:val="0"/>
          <w:marTop w:val="0"/>
          <w:marBottom w:val="0"/>
          <w:divBdr>
            <w:top w:val="none" w:sz="0" w:space="0" w:color="auto"/>
            <w:left w:val="none" w:sz="0" w:space="0" w:color="auto"/>
            <w:bottom w:val="none" w:sz="0" w:space="0" w:color="auto"/>
            <w:right w:val="none" w:sz="0" w:space="0" w:color="auto"/>
          </w:divBdr>
        </w:div>
        <w:div w:id="869611049">
          <w:marLeft w:val="0"/>
          <w:marRight w:val="0"/>
          <w:marTop w:val="0"/>
          <w:marBottom w:val="0"/>
          <w:divBdr>
            <w:top w:val="none" w:sz="0" w:space="0" w:color="auto"/>
            <w:left w:val="none" w:sz="0" w:space="0" w:color="auto"/>
            <w:bottom w:val="none" w:sz="0" w:space="0" w:color="auto"/>
            <w:right w:val="none" w:sz="0" w:space="0" w:color="auto"/>
          </w:divBdr>
        </w:div>
        <w:div w:id="1338533191">
          <w:marLeft w:val="0"/>
          <w:marRight w:val="0"/>
          <w:marTop w:val="0"/>
          <w:marBottom w:val="0"/>
          <w:divBdr>
            <w:top w:val="none" w:sz="0" w:space="0" w:color="auto"/>
            <w:left w:val="none" w:sz="0" w:space="0" w:color="auto"/>
            <w:bottom w:val="none" w:sz="0" w:space="0" w:color="auto"/>
            <w:right w:val="none" w:sz="0" w:space="0" w:color="auto"/>
          </w:divBdr>
        </w:div>
        <w:div w:id="1761488404">
          <w:marLeft w:val="0"/>
          <w:marRight w:val="0"/>
          <w:marTop w:val="0"/>
          <w:marBottom w:val="0"/>
          <w:divBdr>
            <w:top w:val="none" w:sz="0" w:space="0" w:color="auto"/>
            <w:left w:val="none" w:sz="0" w:space="0" w:color="auto"/>
            <w:bottom w:val="none" w:sz="0" w:space="0" w:color="auto"/>
            <w:right w:val="none" w:sz="0" w:space="0" w:color="auto"/>
          </w:divBdr>
        </w:div>
        <w:div w:id="1502045373">
          <w:marLeft w:val="0"/>
          <w:marRight w:val="0"/>
          <w:marTop w:val="0"/>
          <w:marBottom w:val="0"/>
          <w:divBdr>
            <w:top w:val="none" w:sz="0" w:space="0" w:color="auto"/>
            <w:left w:val="none" w:sz="0" w:space="0" w:color="auto"/>
            <w:bottom w:val="none" w:sz="0" w:space="0" w:color="auto"/>
            <w:right w:val="none" w:sz="0" w:space="0" w:color="auto"/>
          </w:divBdr>
        </w:div>
        <w:div w:id="1583374279">
          <w:marLeft w:val="0"/>
          <w:marRight w:val="0"/>
          <w:marTop w:val="0"/>
          <w:marBottom w:val="0"/>
          <w:divBdr>
            <w:top w:val="none" w:sz="0" w:space="0" w:color="auto"/>
            <w:left w:val="none" w:sz="0" w:space="0" w:color="auto"/>
            <w:bottom w:val="none" w:sz="0" w:space="0" w:color="auto"/>
            <w:right w:val="none" w:sz="0" w:space="0" w:color="auto"/>
          </w:divBdr>
        </w:div>
        <w:div w:id="1847092182">
          <w:marLeft w:val="0"/>
          <w:marRight w:val="0"/>
          <w:marTop w:val="0"/>
          <w:marBottom w:val="0"/>
          <w:divBdr>
            <w:top w:val="none" w:sz="0" w:space="0" w:color="auto"/>
            <w:left w:val="none" w:sz="0" w:space="0" w:color="auto"/>
            <w:bottom w:val="none" w:sz="0" w:space="0" w:color="auto"/>
            <w:right w:val="none" w:sz="0" w:space="0" w:color="auto"/>
          </w:divBdr>
        </w:div>
        <w:div w:id="792745393">
          <w:marLeft w:val="0"/>
          <w:marRight w:val="0"/>
          <w:marTop w:val="0"/>
          <w:marBottom w:val="0"/>
          <w:divBdr>
            <w:top w:val="none" w:sz="0" w:space="0" w:color="auto"/>
            <w:left w:val="none" w:sz="0" w:space="0" w:color="auto"/>
            <w:bottom w:val="none" w:sz="0" w:space="0" w:color="auto"/>
            <w:right w:val="none" w:sz="0" w:space="0" w:color="auto"/>
          </w:divBdr>
        </w:div>
        <w:div w:id="220404595">
          <w:marLeft w:val="0"/>
          <w:marRight w:val="0"/>
          <w:marTop w:val="0"/>
          <w:marBottom w:val="0"/>
          <w:divBdr>
            <w:top w:val="none" w:sz="0" w:space="0" w:color="auto"/>
            <w:left w:val="none" w:sz="0" w:space="0" w:color="auto"/>
            <w:bottom w:val="none" w:sz="0" w:space="0" w:color="auto"/>
            <w:right w:val="none" w:sz="0" w:space="0" w:color="auto"/>
          </w:divBdr>
        </w:div>
        <w:div w:id="500509637">
          <w:marLeft w:val="0"/>
          <w:marRight w:val="0"/>
          <w:marTop w:val="0"/>
          <w:marBottom w:val="0"/>
          <w:divBdr>
            <w:top w:val="none" w:sz="0" w:space="0" w:color="auto"/>
            <w:left w:val="none" w:sz="0" w:space="0" w:color="auto"/>
            <w:bottom w:val="none" w:sz="0" w:space="0" w:color="auto"/>
            <w:right w:val="none" w:sz="0" w:space="0" w:color="auto"/>
          </w:divBdr>
          <w:divsChild>
            <w:div w:id="50273316">
              <w:marLeft w:val="-75"/>
              <w:marRight w:val="0"/>
              <w:marTop w:val="30"/>
              <w:marBottom w:val="30"/>
              <w:divBdr>
                <w:top w:val="none" w:sz="0" w:space="0" w:color="auto"/>
                <w:left w:val="none" w:sz="0" w:space="0" w:color="auto"/>
                <w:bottom w:val="none" w:sz="0" w:space="0" w:color="auto"/>
                <w:right w:val="none" w:sz="0" w:space="0" w:color="auto"/>
              </w:divBdr>
              <w:divsChild>
                <w:div w:id="294798956">
                  <w:marLeft w:val="0"/>
                  <w:marRight w:val="0"/>
                  <w:marTop w:val="0"/>
                  <w:marBottom w:val="0"/>
                  <w:divBdr>
                    <w:top w:val="none" w:sz="0" w:space="0" w:color="auto"/>
                    <w:left w:val="none" w:sz="0" w:space="0" w:color="auto"/>
                    <w:bottom w:val="none" w:sz="0" w:space="0" w:color="auto"/>
                    <w:right w:val="none" w:sz="0" w:space="0" w:color="auto"/>
                  </w:divBdr>
                  <w:divsChild>
                    <w:div w:id="151482930">
                      <w:marLeft w:val="0"/>
                      <w:marRight w:val="0"/>
                      <w:marTop w:val="0"/>
                      <w:marBottom w:val="0"/>
                      <w:divBdr>
                        <w:top w:val="none" w:sz="0" w:space="0" w:color="auto"/>
                        <w:left w:val="none" w:sz="0" w:space="0" w:color="auto"/>
                        <w:bottom w:val="none" w:sz="0" w:space="0" w:color="auto"/>
                        <w:right w:val="none" w:sz="0" w:space="0" w:color="auto"/>
                      </w:divBdr>
                    </w:div>
                  </w:divsChild>
                </w:div>
                <w:div w:id="1528634930">
                  <w:marLeft w:val="0"/>
                  <w:marRight w:val="0"/>
                  <w:marTop w:val="0"/>
                  <w:marBottom w:val="0"/>
                  <w:divBdr>
                    <w:top w:val="none" w:sz="0" w:space="0" w:color="auto"/>
                    <w:left w:val="none" w:sz="0" w:space="0" w:color="auto"/>
                    <w:bottom w:val="none" w:sz="0" w:space="0" w:color="auto"/>
                    <w:right w:val="none" w:sz="0" w:space="0" w:color="auto"/>
                  </w:divBdr>
                  <w:divsChild>
                    <w:div w:id="1112017886">
                      <w:marLeft w:val="0"/>
                      <w:marRight w:val="0"/>
                      <w:marTop w:val="0"/>
                      <w:marBottom w:val="0"/>
                      <w:divBdr>
                        <w:top w:val="none" w:sz="0" w:space="0" w:color="auto"/>
                        <w:left w:val="none" w:sz="0" w:space="0" w:color="auto"/>
                        <w:bottom w:val="none" w:sz="0" w:space="0" w:color="auto"/>
                        <w:right w:val="none" w:sz="0" w:space="0" w:color="auto"/>
                      </w:divBdr>
                    </w:div>
                  </w:divsChild>
                </w:div>
                <w:div w:id="764306613">
                  <w:marLeft w:val="0"/>
                  <w:marRight w:val="0"/>
                  <w:marTop w:val="0"/>
                  <w:marBottom w:val="0"/>
                  <w:divBdr>
                    <w:top w:val="none" w:sz="0" w:space="0" w:color="auto"/>
                    <w:left w:val="none" w:sz="0" w:space="0" w:color="auto"/>
                    <w:bottom w:val="none" w:sz="0" w:space="0" w:color="auto"/>
                    <w:right w:val="none" w:sz="0" w:space="0" w:color="auto"/>
                  </w:divBdr>
                  <w:divsChild>
                    <w:div w:id="1947232545">
                      <w:marLeft w:val="0"/>
                      <w:marRight w:val="0"/>
                      <w:marTop w:val="0"/>
                      <w:marBottom w:val="0"/>
                      <w:divBdr>
                        <w:top w:val="none" w:sz="0" w:space="0" w:color="auto"/>
                        <w:left w:val="none" w:sz="0" w:space="0" w:color="auto"/>
                        <w:bottom w:val="none" w:sz="0" w:space="0" w:color="auto"/>
                        <w:right w:val="none" w:sz="0" w:space="0" w:color="auto"/>
                      </w:divBdr>
                    </w:div>
                  </w:divsChild>
                </w:div>
                <w:div w:id="289212821">
                  <w:marLeft w:val="0"/>
                  <w:marRight w:val="0"/>
                  <w:marTop w:val="0"/>
                  <w:marBottom w:val="0"/>
                  <w:divBdr>
                    <w:top w:val="none" w:sz="0" w:space="0" w:color="auto"/>
                    <w:left w:val="none" w:sz="0" w:space="0" w:color="auto"/>
                    <w:bottom w:val="none" w:sz="0" w:space="0" w:color="auto"/>
                    <w:right w:val="none" w:sz="0" w:space="0" w:color="auto"/>
                  </w:divBdr>
                  <w:divsChild>
                    <w:div w:id="542907097">
                      <w:marLeft w:val="0"/>
                      <w:marRight w:val="0"/>
                      <w:marTop w:val="0"/>
                      <w:marBottom w:val="0"/>
                      <w:divBdr>
                        <w:top w:val="none" w:sz="0" w:space="0" w:color="auto"/>
                        <w:left w:val="none" w:sz="0" w:space="0" w:color="auto"/>
                        <w:bottom w:val="none" w:sz="0" w:space="0" w:color="auto"/>
                        <w:right w:val="none" w:sz="0" w:space="0" w:color="auto"/>
                      </w:divBdr>
                    </w:div>
                  </w:divsChild>
                </w:div>
                <w:div w:id="547911828">
                  <w:marLeft w:val="0"/>
                  <w:marRight w:val="0"/>
                  <w:marTop w:val="0"/>
                  <w:marBottom w:val="0"/>
                  <w:divBdr>
                    <w:top w:val="none" w:sz="0" w:space="0" w:color="auto"/>
                    <w:left w:val="none" w:sz="0" w:space="0" w:color="auto"/>
                    <w:bottom w:val="none" w:sz="0" w:space="0" w:color="auto"/>
                    <w:right w:val="none" w:sz="0" w:space="0" w:color="auto"/>
                  </w:divBdr>
                  <w:divsChild>
                    <w:div w:id="766460320">
                      <w:marLeft w:val="0"/>
                      <w:marRight w:val="0"/>
                      <w:marTop w:val="0"/>
                      <w:marBottom w:val="0"/>
                      <w:divBdr>
                        <w:top w:val="none" w:sz="0" w:space="0" w:color="auto"/>
                        <w:left w:val="none" w:sz="0" w:space="0" w:color="auto"/>
                        <w:bottom w:val="none" w:sz="0" w:space="0" w:color="auto"/>
                        <w:right w:val="none" w:sz="0" w:space="0" w:color="auto"/>
                      </w:divBdr>
                    </w:div>
                  </w:divsChild>
                </w:div>
                <w:div w:id="1161388698">
                  <w:marLeft w:val="0"/>
                  <w:marRight w:val="0"/>
                  <w:marTop w:val="0"/>
                  <w:marBottom w:val="0"/>
                  <w:divBdr>
                    <w:top w:val="none" w:sz="0" w:space="0" w:color="auto"/>
                    <w:left w:val="none" w:sz="0" w:space="0" w:color="auto"/>
                    <w:bottom w:val="none" w:sz="0" w:space="0" w:color="auto"/>
                    <w:right w:val="none" w:sz="0" w:space="0" w:color="auto"/>
                  </w:divBdr>
                  <w:divsChild>
                    <w:div w:id="175920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72965">
          <w:marLeft w:val="0"/>
          <w:marRight w:val="0"/>
          <w:marTop w:val="0"/>
          <w:marBottom w:val="0"/>
          <w:divBdr>
            <w:top w:val="none" w:sz="0" w:space="0" w:color="auto"/>
            <w:left w:val="none" w:sz="0" w:space="0" w:color="auto"/>
            <w:bottom w:val="none" w:sz="0" w:space="0" w:color="auto"/>
            <w:right w:val="none" w:sz="0" w:space="0" w:color="auto"/>
          </w:divBdr>
        </w:div>
        <w:div w:id="71972233">
          <w:marLeft w:val="0"/>
          <w:marRight w:val="0"/>
          <w:marTop w:val="0"/>
          <w:marBottom w:val="0"/>
          <w:divBdr>
            <w:top w:val="none" w:sz="0" w:space="0" w:color="auto"/>
            <w:left w:val="none" w:sz="0" w:space="0" w:color="auto"/>
            <w:bottom w:val="none" w:sz="0" w:space="0" w:color="auto"/>
            <w:right w:val="none" w:sz="0" w:space="0" w:color="auto"/>
          </w:divBdr>
          <w:divsChild>
            <w:div w:id="1764255738">
              <w:marLeft w:val="-75"/>
              <w:marRight w:val="0"/>
              <w:marTop w:val="30"/>
              <w:marBottom w:val="30"/>
              <w:divBdr>
                <w:top w:val="none" w:sz="0" w:space="0" w:color="auto"/>
                <w:left w:val="none" w:sz="0" w:space="0" w:color="auto"/>
                <w:bottom w:val="none" w:sz="0" w:space="0" w:color="auto"/>
                <w:right w:val="none" w:sz="0" w:space="0" w:color="auto"/>
              </w:divBdr>
              <w:divsChild>
                <w:div w:id="1653560918">
                  <w:marLeft w:val="0"/>
                  <w:marRight w:val="0"/>
                  <w:marTop w:val="0"/>
                  <w:marBottom w:val="0"/>
                  <w:divBdr>
                    <w:top w:val="none" w:sz="0" w:space="0" w:color="auto"/>
                    <w:left w:val="none" w:sz="0" w:space="0" w:color="auto"/>
                    <w:bottom w:val="none" w:sz="0" w:space="0" w:color="auto"/>
                    <w:right w:val="none" w:sz="0" w:space="0" w:color="auto"/>
                  </w:divBdr>
                  <w:divsChild>
                    <w:div w:id="874779382">
                      <w:marLeft w:val="0"/>
                      <w:marRight w:val="0"/>
                      <w:marTop w:val="0"/>
                      <w:marBottom w:val="0"/>
                      <w:divBdr>
                        <w:top w:val="none" w:sz="0" w:space="0" w:color="auto"/>
                        <w:left w:val="none" w:sz="0" w:space="0" w:color="auto"/>
                        <w:bottom w:val="none" w:sz="0" w:space="0" w:color="auto"/>
                        <w:right w:val="none" w:sz="0" w:space="0" w:color="auto"/>
                      </w:divBdr>
                    </w:div>
                  </w:divsChild>
                </w:div>
                <w:div w:id="90396169">
                  <w:marLeft w:val="0"/>
                  <w:marRight w:val="0"/>
                  <w:marTop w:val="0"/>
                  <w:marBottom w:val="0"/>
                  <w:divBdr>
                    <w:top w:val="none" w:sz="0" w:space="0" w:color="auto"/>
                    <w:left w:val="none" w:sz="0" w:space="0" w:color="auto"/>
                    <w:bottom w:val="none" w:sz="0" w:space="0" w:color="auto"/>
                    <w:right w:val="none" w:sz="0" w:space="0" w:color="auto"/>
                  </w:divBdr>
                  <w:divsChild>
                    <w:div w:id="1266379577">
                      <w:marLeft w:val="0"/>
                      <w:marRight w:val="0"/>
                      <w:marTop w:val="0"/>
                      <w:marBottom w:val="0"/>
                      <w:divBdr>
                        <w:top w:val="none" w:sz="0" w:space="0" w:color="auto"/>
                        <w:left w:val="none" w:sz="0" w:space="0" w:color="auto"/>
                        <w:bottom w:val="none" w:sz="0" w:space="0" w:color="auto"/>
                        <w:right w:val="none" w:sz="0" w:space="0" w:color="auto"/>
                      </w:divBdr>
                    </w:div>
                  </w:divsChild>
                </w:div>
                <w:div w:id="16078535">
                  <w:marLeft w:val="0"/>
                  <w:marRight w:val="0"/>
                  <w:marTop w:val="0"/>
                  <w:marBottom w:val="0"/>
                  <w:divBdr>
                    <w:top w:val="none" w:sz="0" w:space="0" w:color="auto"/>
                    <w:left w:val="none" w:sz="0" w:space="0" w:color="auto"/>
                    <w:bottom w:val="none" w:sz="0" w:space="0" w:color="auto"/>
                    <w:right w:val="none" w:sz="0" w:space="0" w:color="auto"/>
                  </w:divBdr>
                  <w:divsChild>
                    <w:div w:id="974142131">
                      <w:marLeft w:val="0"/>
                      <w:marRight w:val="0"/>
                      <w:marTop w:val="0"/>
                      <w:marBottom w:val="0"/>
                      <w:divBdr>
                        <w:top w:val="none" w:sz="0" w:space="0" w:color="auto"/>
                        <w:left w:val="none" w:sz="0" w:space="0" w:color="auto"/>
                        <w:bottom w:val="none" w:sz="0" w:space="0" w:color="auto"/>
                        <w:right w:val="none" w:sz="0" w:space="0" w:color="auto"/>
                      </w:divBdr>
                    </w:div>
                  </w:divsChild>
                </w:div>
                <w:div w:id="1966691350">
                  <w:marLeft w:val="0"/>
                  <w:marRight w:val="0"/>
                  <w:marTop w:val="0"/>
                  <w:marBottom w:val="0"/>
                  <w:divBdr>
                    <w:top w:val="none" w:sz="0" w:space="0" w:color="auto"/>
                    <w:left w:val="none" w:sz="0" w:space="0" w:color="auto"/>
                    <w:bottom w:val="none" w:sz="0" w:space="0" w:color="auto"/>
                    <w:right w:val="none" w:sz="0" w:space="0" w:color="auto"/>
                  </w:divBdr>
                  <w:divsChild>
                    <w:div w:id="679819307">
                      <w:marLeft w:val="0"/>
                      <w:marRight w:val="0"/>
                      <w:marTop w:val="0"/>
                      <w:marBottom w:val="0"/>
                      <w:divBdr>
                        <w:top w:val="none" w:sz="0" w:space="0" w:color="auto"/>
                        <w:left w:val="none" w:sz="0" w:space="0" w:color="auto"/>
                        <w:bottom w:val="none" w:sz="0" w:space="0" w:color="auto"/>
                        <w:right w:val="none" w:sz="0" w:space="0" w:color="auto"/>
                      </w:divBdr>
                    </w:div>
                  </w:divsChild>
                </w:div>
                <w:div w:id="1565796816">
                  <w:marLeft w:val="0"/>
                  <w:marRight w:val="0"/>
                  <w:marTop w:val="0"/>
                  <w:marBottom w:val="0"/>
                  <w:divBdr>
                    <w:top w:val="none" w:sz="0" w:space="0" w:color="auto"/>
                    <w:left w:val="none" w:sz="0" w:space="0" w:color="auto"/>
                    <w:bottom w:val="none" w:sz="0" w:space="0" w:color="auto"/>
                    <w:right w:val="none" w:sz="0" w:space="0" w:color="auto"/>
                  </w:divBdr>
                  <w:divsChild>
                    <w:div w:id="1976905680">
                      <w:marLeft w:val="0"/>
                      <w:marRight w:val="0"/>
                      <w:marTop w:val="0"/>
                      <w:marBottom w:val="0"/>
                      <w:divBdr>
                        <w:top w:val="none" w:sz="0" w:space="0" w:color="auto"/>
                        <w:left w:val="none" w:sz="0" w:space="0" w:color="auto"/>
                        <w:bottom w:val="none" w:sz="0" w:space="0" w:color="auto"/>
                        <w:right w:val="none" w:sz="0" w:space="0" w:color="auto"/>
                      </w:divBdr>
                    </w:div>
                  </w:divsChild>
                </w:div>
                <w:div w:id="1922761217">
                  <w:marLeft w:val="0"/>
                  <w:marRight w:val="0"/>
                  <w:marTop w:val="0"/>
                  <w:marBottom w:val="0"/>
                  <w:divBdr>
                    <w:top w:val="none" w:sz="0" w:space="0" w:color="auto"/>
                    <w:left w:val="none" w:sz="0" w:space="0" w:color="auto"/>
                    <w:bottom w:val="none" w:sz="0" w:space="0" w:color="auto"/>
                    <w:right w:val="none" w:sz="0" w:space="0" w:color="auto"/>
                  </w:divBdr>
                  <w:divsChild>
                    <w:div w:id="773943680">
                      <w:marLeft w:val="0"/>
                      <w:marRight w:val="0"/>
                      <w:marTop w:val="0"/>
                      <w:marBottom w:val="0"/>
                      <w:divBdr>
                        <w:top w:val="none" w:sz="0" w:space="0" w:color="auto"/>
                        <w:left w:val="none" w:sz="0" w:space="0" w:color="auto"/>
                        <w:bottom w:val="none" w:sz="0" w:space="0" w:color="auto"/>
                        <w:right w:val="none" w:sz="0" w:space="0" w:color="auto"/>
                      </w:divBdr>
                    </w:div>
                  </w:divsChild>
                </w:div>
                <w:div w:id="1160384623">
                  <w:marLeft w:val="0"/>
                  <w:marRight w:val="0"/>
                  <w:marTop w:val="0"/>
                  <w:marBottom w:val="0"/>
                  <w:divBdr>
                    <w:top w:val="none" w:sz="0" w:space="0" w:color="auto"/>
                    <w:left w:val="none" w:sz="0" w:space="0" w:color="auto"/>
                    <w:bottom w:val="none" w:sz="0" w:space="0" w:color="auto"/>
                    <w:right w:val="none" w:sz="0" w:space="0" w:color="auto"/>
                  </w:divBdr>
                  <w:divsChild>
                    <w:div w:id="1437556734">
                      <w:marLeft w:val="0"/>
                      <w:marRight w:val="0"/>
                      <w:marTop w:val="0"/>
                      <w:marBottom w:val="0"/>
                      <w:divBdr>
                        <w:top w:val="none" w:sz="0" w:space="0" w:color="auto"/>
                        <w:left w:val="none" w:sz="0" w:space="0" w:color="auto"/>
                        <w:bottom w:val="none" w:sz="0" w:space="0" w:color="auto"/>
                        <w:right w:val="none" w:sz="0" w:space="0" w:color="auto"/>
                      </w:divBdr>
                    </w:div>
                  </w:divsChild>
                </w:div>
                <w:div w:id="2113938957">
                  <w:marLeft w:val="0"/>
                  <w:marRight w:val="0"/>
                  <w:marTop w:val="0"/>
                  <w:marBottom w:val="0"/>
                  <w:divBdr>
                    <w:top w:val="none" w:sz="0" w:space="0" w:color="auto"/>
                    <w:left w:val="none" w:sz="0" w:space="0" w:color="auto"/>
                    <w:bottom w:val="none" w:sz="0" w:space="0" w:color="auto"/>
                    <w:right w:val="none" w:sz="0" w:space="0" w:color="auto"/>
                  </w:divBdr>
                  <w:divsChild>
                    <w:div w:id="2026134681">
                      <w:marLeft w:val="0"/>
                      <w:marRight w:val="0"/>
                      <w:marTop w:val="0"/>
                      <w:marBottom w:val="0"/>
                      <w:divBdr>
                        <w:top w:val="none" w:sz="0" w:space="0" w:color="auto"/>
                        <w:left w:val="none" w:sz="0" w:space="0" w:color="auto"/>
                        <w:bottom w:val="none" w:sz="0" w:space="0" w:color="auto"/>
                        <w:right w:val="none" w:sz="0" w:space="0" w:color="auto"/>
                      </w:divBdr>
                    </w:div>
                  </w:divsChild>
                </w:div>
                <w:div w:id="1351182915">
                  <w:marLeft w:val="0"/>
                  <w:marRight w:val="0"/>
                  <w:marTop w:val="0"/>
                  <w:marBottom w:val="0"/>
                  <w:divBdr>
                    <w:top w:val="none" w:sz="0" w:space="0" w:color="auto"/>
                    <w:left w:val="none" w:sz="0" w:space="0" w:color="auto"/>
                    <w:bottom w:val="none" w:sz="0" w:space="0" w:color="auto"/>
                    <w:right w:val="none" w:sz="0" w:space="0" w:color="auto"/>
                  </w:divBdr>
                  <w:divsChild>
                    <w:div w:id="1424953117">
                      <w:marLeft w:val="0"/>
                      <w:marRight w:val="0"/>
                      <w:marTop w:val="0"/>
                      <w:marBottom w:val="0"/>
                      <w:divBdr>
                        <w:top w:val="none" w:sz="0" w:space="0" w:color="auto"/>
                        <w:left w:val="none" w:sz="0" w:space="0" w:color="auto"/>
                        <w:bottom w:val="none" w:sz="0" w:space="0" w:color="auto"/>
                        <w:right w:val="none" w:sz="0" w:space="0" w:color="auto"/>
                      </w:divBdr>
                    </w:div>
                  </w:divsChild>
                </w:div>
                <w:div w:id="2105567977">
                  <w:marLeft w:val="0"/>
                  <w:marRight w:val="0"/>
                  <w:marTop w:val="0"/>
                  <w:marBottom w:val="0"/>
                  <w:divBdr>
                    <w:top w:val="none" w:sz="0" w:space="0" w:color="auto"/>
                    <w:left w:val="none" w:sz="0" w:space="0" w:color="auto"/>
                    <w:bottom w:val="none" w:sz="0" w:space="0" w:color="auto"/>
                    <w:right w:val="none" w:sz="0" w:space="0" w:color="auto"/>
                  </w:divBdr>
                  <w:divsChild>
                    <w:div w:id="732968573">
                      <w:marLeft w:val="0"/>
                      <w:marRight w:val="0"/>
                      <w:marTop w:val="0"/>
                      <w:marBottom w:val="0"/>
                      <w:divBdr>
                        <w:top w:val="none" w:sz="0" w:space="0" w:color="auto"/>
                        <w:left w:val="none" w:sz="0" w:space="0" w:color="auto"/>
                        <w:bottom w:val="none" w:sz="0" w:space="0" w:color="auto"/>
                        <w:right w:val="none" w:sz="0" w:space="0" w:color="auto"/>
                      </w:divBdr>
                    </w:div>
                  </w:divsChild>
                </w:div>
                <w:div w:id="181013465">
                  <w:marLeft w:val="0"/>
                  <w:marRight w:val="0"/>
                  <w:marTop w:val="0"/>
                  <w:marBottom w:val="0"/>
                  <w:divBdr>
                    <w:top w:val="none" w:sz="0" w:space="0" w:color="auto"/>
                    <w:left w:val="none" w:sz="0" w:space="0" w:color="auto"/>
                    <w:bottom w:val="none" w:sz="0" w:space="0" w:color="auto"/>
                    <w:right w:val="none" w:sz="0" w:space="0" w:color="auto"/>
                  </w:divBdr>
                  <w:divsChild>
                    <w:div w:id="369837575">
                      <w:marLeft w:val="0"/>
                      <w:marRight w:val="0"/>
                      <w:marTop w:val="0"/>
                      <w:marBottom w:val="0"/>
                      <w:divBdr>
                        <w:top w:val="none" w:sz="0" w:space="0" w:color="auto"/>
                        <w:left w:val="none" w:sz="0" w:space="0" w:color="auto"/>
                        <w:bottom w:val="none" w:sz="0" w:space="0" w:color="auto"/>
                        <w:right w:val="none" w:sz="0" w:space="0" w:color="auto"/>
                      </w:divBdr>
                    </w:div>
                  </w:divsChild>
                </w:div>
                <w:div w:id="1624537063">
                  <w:marLeft w:val="0"/>
                  <w:marRight w:val="0"/>
                  <w:marTop w:val="0"/>
                  <w:marBottom w:val="0"/>
                  <w:divBdr>
                    <w:top w:val="none" w:sz="0" w:space="0" w:color="auto"/>
                    <w:left w:val="none" w:sz="0" w:space="0" w:color="auto"/>
                    <w:bottom w:val="none" w:sz="0" w:space="0" w:color="auto"/>
                    <w:right w:val="none" w:sz="0" w:space="0" w:color="auto"/>
                  </w:divBdr>
                  <w:divsChild>
                    <w:div w:id="143201087">
                      <w:marLeft w:val="0"/>
                      <w:marRight w:val="0"/>
                      <w:marTop w:val="0"/>
                      <w:marBottom w:val="0"/>
                      <w:divBdr>
                        <w:top w:val="none" w:sz="0" w:space="0" w:color="auto"/>
                        <w:left w:val="none" w:sz="0" w:space="0" w:color="auto"/>
                        <w:bottom w:val="none" w:sz="0" w:space="0" w:color="auto"/>
                        <w:right w:val="none" w:sz="0" w:space="0" w:color="auto"/>
                      </w:divBdr>
                    </w:div>
                  </w:divsChild>
                </w:div>
                <w:div w:id="396704043">
                  <w:marLeft w:val="0"/>
                  <w:marRight w:val="0"/>
                  <w:marTop w:val="0"/>
                  <w:marBottom w:val="0"/>
                  <w:divBdr>
                    <w:top w:val="none" w:sz="0" w:space="0" w:color="auto"/>
                    <w:left w:val="none" w:sz="0" w:space="0" w:color="auto"/>
                    <w:bottom w:val="none" w:sz="0" w:space="0" w:color="auto"/>
                    <w:right w:val="none" w:sz="0" w:space="0" w:color="auto"/>
                  </w:divBdr>
                  <w:divsChild>
                    <w:div w:id="81337490">
                      <w:marLeft w:val="0"/>
                      <w:marRight w:val="0"/>
                      <w:marTop w:val="0"/>
                      <w:marBottom w:val="0"/>
                      <w:divBdr>
                        <w:top w:val="none" w:sz="0" w:space="0" w:color="auto"/>
                        <w:left w:val="none" w:sz="0" w:space="0" w:color="auto"/>
                        <w:bottom w:val="none" w:sz="0" w:space="0" w:color="auto"/>
                        <w:right w:val="none" w:sz="0" w:space="0" w:color="auto"/>
                      </w:divBdr>
                    </w:div>
                  </w:divsChild>
                </w:div>
                <w:div w:id="1197887144">
                  <w:marLeft w:val="0"/>
                  <w:marRight w:val="0"/>
                  <w:marTop w:val="0"/>
                  <w:marBottom w:val="0"/>
                  <w:divBdr>
                    <w:top w:val="none" w:sz="0" w:space="0" w:color="auto"/>
                    <w:left w:val="none" w:sz="0" w:space="0" w:color="auto"/>
                    <w:bottom w:val="none" w:sz="0" w:space="0" w:color="auto"/>
                    <w:right w:val="none" w:sz="0" w:space="0" w:color="auto"/>
                  </w:divBdr>
                  <w:divsChild>
                    <w:div w:id="950744546">
                      <w:marLeft w:val="0"/>
                      <w:marRight w:val="0"/>
                      <w:marTop w:val="0"/>
                      <w:marBottom w:val="0"/>
                      <w:divBdr>
                        <w:top w:val="none" w:sz="0" w:space="0" w:color="auto"/>
                        <w:left w:val="none" w:sz="0" w:space="0" w:color="auto"/>
                        <w:bottom w:val="none" w:sz="0" w:space="0" w:color="auto"/>
                        <w:right w:val="none" w:sz="0" w:space="0" w:color="auto"/>
                      </w:divBdr>
                    </w:div>
                  </w:divsChild>
                </w:div>
                <w:div w:id="1016007260">
                  <w:marLeft w:val="0"/>
                  <w:marRight w:val="0"/>
                  <w:marTop w:val="0"/>
                  <w:marBottom w:val="0"/>
                  <w:divBdr>
                    <w:top w:val="none" w:sz="0" w:space="0" w:color="auto"/>
                    <w:left w:val="none" w:sz="0" w:space="0" w:color="auto"/>
                    <w:bottom w:val="none" w:sz="0" w:space="0" w:color="auto"/>
                    <w:right w:val="none" w:sz="0" w:space="0" w:color="auto"/>
                  </w:divBdr>
                  <w:divsChild>
                    <w:div w:id="484276881">
                      <w:marLeft w:val="0"/>
                      <w:marRight w:val="0"/>
                      <w:marTop w:val="0"/>
                      <w:marBottom w:val="0"/>
                      <w:divBdr>
                        <w:top w:val="none" w:sz="0" w:space="0" w:color="auto"/>
                        <w:left w:val="none" w:sz="0" w:space="0" w:color="auto"/>
                        <w:bottom w:val="none" w:sz="0" w:space="0" w:color="auto"/>
                        <w:right w:val="none" w:sz="0" w:space="0" w:color="auto"/>
                      </w:divBdr>
                    </w:div>
                  </w:divsChild>
                </w:div>
                <w:div w:id="1486051891">
                  <w:marLeft w:val="0"/>
                  <w:marRight w:val="0"/>
                  <w:marTop w:val="0"/>
                  <w:marBottom w:val="0"/>
                  <w:divBdr>
                    <w:top w:val="none" w:sz="0" w:space="0" w:color="auto"/>
                    <w:left w:val="none" w:sz="0" w:space="0" w:color="auto"/>
                    <w:bottom w:val="none" w:sz="0" w:space="0" w:color="auto"/>
                    <w:right w:val="none" w:sz="0" w:space="0" w:color="auto"/>
                  </w:divBdr>
                  <w:divsChild>
                    <w:div w:id="2001689278">
                      <w:marLeft w:val="0"/>
                      <w:marRight w:val="0"/>
                      <w:marTop w:val="0"/>
                      <w:marBottom w:val="0"/>
                      <w:divBdr>
                        <w:top w:val="none" w:sz="0" w:space="0" w:color="auto"/>
                        <w:left w:val="none" w:sz="0" w:space="0" w:color="auto"/>
                        <w:bottom w:val="none" w:sz="0" w:space="0" w:color="auto"/>
                        <w:right w:val="none" w:sz="0" w:space="0" w:color="auto"/>
                      </w:divBdr>
                    </w:div>
                  </w:divsChild>
                </w:div>
                <w:div w:id="889532291">
                  <w:marLeft w:val="0"/>
                  <w:marRight w:val="0"/>
                  <w:marTop w:val="0"/>
                  <w:marBottom w:val="0"/>
                  <w:divBdr>
                    <w:top w:val="none" w:sz="0" w:space="0" w:color="auto"/>
                    <w:left w:val="none" w:sz="0" w:space="0" w:color="auto"/>
                    <w:bottom w:val="none" w:sz="0" w:space="0" w:color="auto"/>
                    <w:right w:val="none" w:sz="0" w:space="0" w:color="auto"/>
                  </w:divBdr>
                  <w:divsChild>
                    <w:div w:id="196283284">
                      <w:marLeft w:val="0"/>
                      <w:marRight w:val="0"/>
                      <w:marTop w:val="0"/>
                      <w:marBottom w:val="0"/>
                      <w:divBdr>
                        <w:top w:val="none" w:sz="0" w:space="0" w:color="auto"/>
                        <w:left w:val="none" w:sz="0" w:space="0" w:color="auto"/>
                        <w:bottom w:val="none" w:sz="0" w:space="0" w:color="auto"/>
                        <w:right w:val="none" w:sz="0" w:space="0" w:color="auto"/>
                      </w:divBdr>
                    </w:div>
                  </w:divsChild>
                </w:div>
                <w:div w:id="822308578">
                  <w:marLeft w:val="0"/>
                  <w:marRight w:val="0"/>
                  <w:marTop w:val="0"/>
                  <w:marBottom w:val="0"/>
                  <w:divBdr>
                    <w:top w:val="none" w:sz="0" w:space="0" w:color="auto"/>
                    <w:left w:val="none" w:sz="0" w:space="0" w:color="auto"/>
                    <w:bottom w:val="none" w:sz="0" w:space="0" w:color="auto"/>
                    <w:right w:val="none" w:sz="0" w:space="0" w:color="auto"/>
                  </w:divBdr>
                  <w:divsChild>
                    <w:div w:id="1315836884">
                      <w:marLeft w:val="0"/>
                      <w:marRight w:val="0"/>
                      <w:marTop w:val="0"/>
                      <w:marBottom w:val="0"/>
                      <w:divBdr>
                        <w:top w:val="none" w:sz="0" w:space="0" w:color="auto"/>
                        <w:left w:val="none" w:sz="0" w:space="0" w:color="auto"/>
                        <w:bottom w:val="none" w:sz="0" w:space="0" w:color="auto"/>
                        <w:right w:val="none" w:sz="0" w:space="0" w:color="auto"/>
                      </w:divBdr>
                    </w:div>
                  </w:divsChild>
                </w:div>
                <w:div w:id="1992365118">
                  <w:marLeft w:val="0"/>
                  <w:marRight w:val="0"/>
                  <w:marTop w:val="0"/>
                  <w:marBottom w:val="0"/>
                  <w:divBdr>
                    <w:top w:val="none" w:sz="0" w:space="0" w:color="auto"/>
                    <w:left w:val="none" w:sz="0" w:space="0" w:color="auto"/>
                    <w:bottom w:val="none" w:sz="0" w:space="0" w:color="auto"/>
                    <w:right w:val="none" w:sz="0" w:space="0" w:color="auto"/>
                  </w:divBdr>
                  <w:divsChild>
                    <w:div w:id="1828861602">
                      <w:marLeft w:val="0"/>
                      <w:marRight w:val="0"/>
                      <w:marTop w:val="0"/>
                      <w:marBottom w:val="0"/>
                      <w:divBdr>
                        <w:top w:val="none" w:sz="0" w:space="0" w:color="auto"/>
                        <w:left w:val="none" w:sz="0" w:space="0" w:color="auto"/>
                        <w:bottom w:val="none" w:sz="0" w:space="0" w:color="auto"/>
                        <w:right w:val="none" w:sz="0" w:space="0" w:color="auto"/>
                      </w:divBdr>
                    </w:div>
                  </w:divsChild>
                </w:div>
                <w:div w:id="1914970228">
                  <w:marLeft w:val="0"/>
                  <w:marRight w:val="0"/>
                  <w:marTop w:val="0"/>
                  <w:marBottom w:val="0"/>
                  <w:divBdr>
                    <w:top w:val="none" w:sz="0" w:space="0" w:color="auto"/>
                    <w:left w:val="none" w:sz="0" w:space="0" w:color="auto"/>
                    <w:bottom w:val="none" w:sz="0" w:space="0" w:color="auto"/>
                    <w:right w:val="none" w:sz="0" w:space="0" w:color="auto"/>
                  </w:divBdr>
                  <w:divsChild>
                    <w:div w:id="553201453">
                      <w:marLeft w:val="0"/>
                      <w:marRight w:val="0"/>
                      <w:marTop w:val="0"/>
                      <w:marBottom w:val="0"/>
                      <w:divBdr>
                        <w:top w:val="none" w:sz="0" w:space="0" w:color="auto"/>
                        <w:left w:val="none" w:sz="0" w:space="0" w:color="auto"/>
                        <w:bottom w:val="none" w:sz="0" w:space="0" w:color="auto"/>
                        <w:right w:val="none" w:sz="0" w:space="0" w:color="auto"/>
                      </w:divBdr>
                    </w:div>
                  </w:divsChild>
                </w:div>
                <w:div w:id="516625354">
                  <w:marLeft w:val="0"/>
                  <w:marRight w:val="0"/>
                  <w:marTop w:val="0"/>
                  <w:marBottom w:val="0"/>
                  <w:divBdr>
                    <w:top w:val="none" w:sz="0" w:space="0" w:color="auto"/>
                    <w:left w:val="none" w:sz="0" w:space="0" w:color="auto"/>
                    <w:bottom w:val="none" w:sz="0" w:space="0" w:color="auto"/>
                    <w:right w:val="none" w:sz="0" w:space="0" w:color="auto"/>
                  </w:divBdr>
                  <w:divsChild>
                    <w:div w:id="622077642">
                      <w:marLeft w:val="0"/>
                      <w:marRight w:val="0"/>
                      <w:marTop w:val="0"/>
                      <w:marBottom w:val="0"/>
                      <w:divBdr>
                        <w:top w:val="none" w:sz="0" w:space="0" w:color="auto"/>
                        <w:left w:val="none" w:sz="0" w:space="0" w:color="auto"/>
                        <w:bottom w:val="none" w:sz="0" w:space="0" w:color="auto"/>
                        <w:right w:val="none" w:sz="0" w:space="0" w:color="auto"/>
                      </w:divBdr>
                    </w:div>
                  </w:divsChild>
                </w:div>
                <w:div w:id="1003046273">
                  <w:marLeft w:val="0"/>
                  <w:marRight w:val="0"/>
                  <w:marTop w:val="0"/>
                  <w:marBottom w:val="0"/>
                  <w:divBdr>
                    <w:top w:val="none" w:sz="0" w:space="0" w:color="auto"/>
                    <w:left w:val="none" w:sz="0" w:space="0" w:color="auto"/>
                    <w:bottom w:val="none" w:sz="0" w:space="0" w:color="auto"/>
                    <w:right w:val="none" w:sz="0" w:space="0" w:color="auto"/>
                  </w:divBdr>
                  <w:divsChild>
                    <w:div w:id="8726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9573">
          <w:marLeft w:val="0"/>
          <w:marRight w:val="0"/>
          <w:marTop w:val="0"/>
          <w:marBottom w:val="0"/>
          <w:divBdr>
            <w:top w:val="none" w:sz="0" w:space="0" w:color="auto"/>
            <w:left w:val="none" w:sz="0" w:space="0" w:color="auto"/>
            <w:bottom w:val="none" w:sz="0" w:space="0" w:color="auto"/>
            <w:right w:val="none" w:sz="0" w:space="0" w:color="auto"/>
          </w:divBdr>
          <w:divsChild>
            <w:div w:id="1913274873">
              <w:marLeft w:val="0"/>
              <w:marRight w:val="0"/>
              <w:marTop w:val="0"/>
              <w:marBottom w:val="0"/>
              <w:divBdr>
                <w:top w:val="none" w:sz="0" w:space="0" w:color="auto"/>
                <w:left w:val="none" w:sz="0" w:space="0" w:color="auto"/>
                <w:bottom w:val="none" w:sz="0" w:space="0" w:color="auto"/>
                <w:right w:val="none" w:sz="0" w:space="0" w:color="auto"/>
              </w:divBdr>
            </w:div>
            <w:div w:id="211889425">
              <w:marLeft w:val="0"/>
              <w:marRight w:val="0"/>
              <w:marTop w:val="0"/>
              <w:marBottom w:val="0"/>
              <w:divBdr>
                <w:top w:val="none" w:sz="0" w:space="0" w:color="auto"/>
                <w:left w:val="none" w:sz="0" w:space="0" w:color="auto"/>
                <w:bottom w:val="none" w:sz="0" w:space="0" w:color="auto"/>
                <w:right w:val="none" w:sz="0" w:space="0" w:color="auto"/>
              </w:divBdr>
            </w:div>
            <w:div w:id="144932757">
              <w:marLeft w:val="0"/>
              <w:marRight w:val="0"/>
              <w:marTop w:val="0"/>
              <w:marBottom w:val="0"/>
              <w:divBdr>
                <w:top w:val="none" w:sz="0" w:space="0" w:color="auto"/>
                <w:left w:val="none" w:sz="0" w:space="0" w:color="auto"/>
                <w:bottom w:val="none" w:sz="0" w:space="0" w:color="auto"/>
                <w:right w:val="none" w:sz="0" w:space="0" w:color="auto"/>
              </w:divBdr>
            </w:div>
            <w:div w:id="373118772">
              <w:marLeft w:val="0"/>
              <w:marRight w:val="0"/>
              <w:marTop w:val="0"/>
              <w:marBottom w:val="0"/>
              <w:divBdr>
                <w:top w:val="none" w:sz="0" w:space="0" w:color="auto"/>
                <w:left w:val="none" w:sz="0" w:space="0" w:color="auto"/>
                <w:bottom w:val="none" w:sz="0" w:space="0" w:color="auto"/>
                <w:right w:val="none" w:sz="0" w:space="0" w:color="auto"/>
              </w:divBdr>
            </w:div>
            <w:div w:id="1031566835">
              <w:marLeft w:val="0"/>
              <w:marRight w:val="0"/>
              <w:marTop w:val="0"/>
              <w:marBottom w:val="0"/>
              <w:divBdr>
                <w:top w:val="none" w:sz="0" w:space="0" w:color="auto"/>
                <w:left w:val="none" w:sz="0" w:space="0" w:color="auto"/>
                <w:bottom w:val="none" w:sz="0" w:space="0" w:color="auto"/>
                <w:right w:val="none" w:sz="0" w:space="0" w:color="auto"/>
              </w:divBdr>
            </w:div>
          </w:divsChild>
        </w:div>
        <w:div w:id="1138885472">
          <w:marLeft w:val="0"/>
          <w:marRight w:val="0"/>
          <w:marTop w:val="0"/>
          <w:marBottom w:val="0"/>
          <w:divBdr>
            <w:top w:val="none" w:sz="0" w:space="0" w:color="auto"/>
            <w:left w:val="none" w:sz="0" w:space="0" w:color="auto"/>
            <w:bottom w:val="none" w:sz="0" w:space="0" w:color="auto"/>
            <w:right w:val="none" w:sz="0" w:space="0" w:color="auto"/>
          </w:divBdr>
          <w:divsChild>
            <w:div w:id="732628277">
              <w:marLeft w:val="0"/>
              <w:marRight w:val="0"/>
              <w:marTop w:val="0"/>
              <w:marBottom w:val="0"/>
              <w:divBdr>
                <w:top w:val="none" w:sz="0" w:space="0" w:color="auto"/>
                <w:left w:val="none" w:sz="0" w:space="0" w:color="auto"/>
                <w:bottom w:val="none" w:sz="0" w:space="0" w:color="auto"/>
                <w:right w:val="none" w:sz="0" w:space="0" w:color="auto"/>
              </w:divBdr>
            </w:div>
            <w:div w:id="1401558783">
              <w:marLeft w:val="0"/>
              <w:marRight w:val="0"/>
              <w:marTop w:val="0"/>
              <w:marBottom w:val="0"/>
              <w:divBdr>
                <w:top w:val="none" w:sz="0" w:space="0" w:color="auto"/>
                <w:left w:val="none" w:sz="0" w:space="0" w:color="auto"/>
                <w:bottom w:val="none" w:sz="0" w:space="0" w:color="auto"/>
                <w:right w:val="none" w:sz="0" w:space="0" w:color="auto"/>
              </w:divBdr>
            </w:div>
            <w:div w:id="1163155757">
              <w:marLeft w:val="0"/>
              <w:marRight w:val="0"/>
              <w:marTop w:val="0"/>
              <w:marBottom w:val="0"/>
              <w:divBdr>
                <w:top w:val="none" w:sz="0" w:space="0" w:color="auto"/>
                <w:left w:val="none" w:sz="0" w:space="0" w:color="auto"/>
                <w:bottom w:val="none" w:sz="0" w:space="0" w:color="auto"/>
                <w:right w:val="none" w:sz="0" w:space="0" w:color="auto"/>
              </w:divBdr>
            </w:div>
          </w:divsChild>
        </w:div>
        <w:div w:id="1432313355">
          <w:marLeft w:val="0"/>
          <w:marRight w:val="0"/>
          <w:marTop w:val="0"/>
          <w:marBottom w:val="0"/>
          <w:divBdr>
            <w:top w:val="none" w:sz="0" w:space="0" w:color="auto"/>
            <w:left w:val="none" w:sz="0" w:space="0" w:color="auto"/>
            <w:bottom w:val="none" w:sz="0" w:space="0" w:color="auto"/>
            <w:right w:val="none" w:sz="0" w:space="0" w:color="auto"/>
          </w:divBdr>
          <w:divsChild>
            <w:div w:id="163862462">
              <w:marLeft w:val="0"/>
              <w:marRight w:val="0"/>
              <w:marTop w:val="0"/>
              <w:marBottom w:val="0"/>
              <w:divBdr>
                <w:top w:val="none" w:sz="0" w:space="0" w:color="auto"/>
                <w:left w:val="none" w:sz="0" w:space="0" w:color="auto"/>
                <w:bottom w:val="none" w:sz="0" w:space="0" w:color="auto"/>
                <w:right w:val="none" w:sz="0" w:space="0" w:color="auto"/>
              </w:divBdr>
            </w:div>
            <w:div w:id="664092174">
              <w:marLeft w:val="0"/>
              <w:marRight w:val="0"/>
              <w:marTop w:val="0"/>
              <w:marBottom w:val="0"/>
              <w:divBdr>
                <w:top w:val="none" w:sz="0" w:space="0" w:color="auto"/>
                <w:left w:val="none" w:sz="0" w:space="0" w:color="auto"/>
                <w:bottom w:val="none" w:sz="0" w:space="0" w:color="auto"/>
                <w:right w:val="none" w:sz="0" w:space="0" w:color="auto"/>
              </w:divBdr>
            </w:div>
            <w:div w:id="329211406">
              <w:marLeft w:val="0"/>
              <w:marRight w:val="0"/>
              <w:marTop w:val="0"/>
              <w:marBottom w:val="0"/>
              <w:divBdr>
                <w:top w:val="none" w:sz="0" w:space="0" w:color="auto"/>
                <w:left w:val="none" w:sz="0" w:space="0" w:color="auto"/>
                <w:bottom w:val="none" w:sz="0" w:space="0" w:color="auto"/>
                <w:right w:val="none" w:sz="0" w:space="0" w:color="auto"/>
              </w:divBdr>
            </w:div>
          </w:divsChild>
        </w:div>
        <w:div w:id="2017074966">
          <w:marLeft w:val="0"/>
          <w:marRight w:val="0"/>
          <w:marTop w:val="0"/>
          <w:marBottom w:val="0"/>
          <w:divBdr>
            <w:top w:val="none" w:sz="0" w:space="0" w:color="auto"/>
            <w:left w:val="none" w:sz="0" w:space="0" w:color="auto"/>
            <w:bottom w:val="none" w:sz="0" w:space="0" w:color="auto"/>
            <w:right w:val="none" w:sz="0" w:space="0" w:color="auto"/>
          </w:divBdr>
          <w:divsChild>
            <w:div w:id="802505351">
              <w:marLeft w:val="0"/>
              <w:marRight w:val="0"/>
              <w:marTop w:val="0"/>
              <w:marBottom w:val="0"/>
              <w:divBdr>
                <w:top w:val="none" w:sz="0" w:space="0" w:color="auto"/>
                <w:left w:val="none" w:sz="0" w:space="0" w:color="auto"/>
                <w:bottom w:val="none" w:sz="0" w:space="0" w:color="auto"/>
                <w:right w:val="none" w:sz="0" w:space="0" w:color="auto"/>
              </w:divBdr>
            </w:div>
            <w:div w:id="1205678307">
              <w:marLeft w:val="0"/>
              <w:marRight w:val="0"/>
              <w:marTop w:val="0"/>
              <w:marBottom w:val="0"/>
              <w:divBdr>
                <w:top w:val="none" w:sz="0" w:space="0" w:color="auto"/>
                <w:left w:val="none" w:sz="0" w:space="0" w:color="auto"/>
                <w:bottom w:val="none" w:sz="0" w:space="0" w:color="auto"/>
                <w:right w:val="none" w:sz="0" w:space="0" w:color="auto"/>
              </w:divBdr>
            </w:div>
            <w:div w:id="522666692">
              <w:marLeft w:val="0"/>
              <w:marRight w:val="0"/>
              <w:marTop w:val="0"/>
              <w:marBottom w:val="0"/>
              <w:divBdr>
                <w:top w:val="none" w:sz="0" w:space="0" w:color="auto"/>
                <w:left w:val="none" w:sz="0" w:space="0" w:color="auto"/>
                <w:bottom w:val="none" w:sz="0" w:space="0" w:color="auto"/>
                <w:right w:val="none" w:sz="0" w:space="0" w:color="auto"/>
              </w:divBdr>
            </w:div>
          </w:divsChild>
        </w:div>
        <w:div w:id="221258425">
          <w:marLeft w:val="0"/>
          <w:marRight w:val="0"/>
          <w:marTop w:val="0"/>
          <w:marBottom w:val="0"/>
          <w:divBdr>
            <w:top w:val="none" w:sz="0" w:space="0" w:color="auto"/>
            <w:left w:val="none" w:sz="0" w:space="0" w:color="auto"/>
            <w:bottom w:val="none" w:sz="0" w:space="0" w:color="auto"/>
            <w:right w:val="none" w:sz="0" w:space="0" w:color="auto"/>
          </w:divBdr>
        </w:div>
        <w:div w:id="438187017">
          <w:marLeft w:val="0"/>
          <w:marRight w:val="0"/>
          <w:marTop w:val="0"/>
          <w:marBottom w:val="0"/>
          <w:divBdr>
            <w:top w:val="none" w:sz="0" w:space="0" w:color="auto"/>
            <w:left w:val="none" w:sz="0" w:space="0" w:color="auto"/>
            <w:bottom w:val="none" w:sz="0" w:space="0" w:color="auto"/>
            <w:right w:val="none" w:sz="0" w:space="0" w:color="auto"/>
          </w:divBdr>
        </w:div>
        <w:div w:id="318575819">
          <w:marLeft w:val="0"/>
          <w:marRight w:val="0"/>
          <w:marTop w:val="0"/>
          <w:marBottom w:val="0"/>
          <w:divBdr>
            <w:top w:val="none" w:sz="0" w:space="0" w:color="auto"/>
            <w:left w:val="none" w:sz="0" w:space="0" w:color="auto"/>
            <w:bottom w:val="none" w:sz="0" w:space="0" w:color="auto"/>
            <w:right w:val="none" w:sz="0" w:space="0" w:color="auto"/>
          </w:divBdr>
          <w:divsChild>
            <w:div w:id="2011833994">
              <w:marLeft w:val="-75"/>
              <w:marRight w:val="0"/>
              <w:marTop w:val="30"/>
              <w:marBottom w:val="30"/>
              <w:divBdr>
                <w:top w:val="none" w:sz="0" w:space="0" w:color="auto"/>
                <w:left w:val="none" w:sz="0" w:space="0" w:color="auto"/>
                <w:bottom w:val="none" w:sz="0" w:space="0" w:color="auto"/>
                <w:right w:val="none" w:sz="0" w:space="0" w:color="auto"/>
              </w:divBdr>
              <w:divsChild>
                <w:div w:id="379328780">
                  <w:marLeft w:val="0"/>
                  <w:marRight w:val="0"/>
                  <w:marTop w:val="0"/>
                  <w:marBottom w:val="0"/>
                  <w:divBdr>
                    <w:top w:val="none" w:sz="0" w:space="0" w:color="auto"/>
                    <w:left w:val="none" w:sz="0" w:space="0" w:color="auto"/>
                    <w:bottom w:val="none" w:sz="0" w:space="0" w:color="auto"/>
                    <w:right w:val="none" w:sz="0" w:space="0" w:color="auto"/>
                  </w:divBdr>
                  <w:divsChild>
                    <w:div w:id="1508249108">
                      <w:marLeft w:val="0"/>
                      <w:marRight w:val="0"/>
                      <w:marTop w:val="0"/>
                      <w:marBottom w:val="0"/>
                      <w:divBdr>
                        <w:top w:val="none" w:sz="0" w:space="0" w:color="auto"/>
                        <w:left w:val="none" w:sz="0" w:space="0" w:color="auto"/>
                        <w:bottom w:val="none" w:sz="0" w:space="0" w:color="auto"/>
                        <w:right w:val="none" w:sz="0" w:space="0" w:color="auto"/>
                      </w:divBdr>
                    </w:div>
                  </w:divsChild>
                </w:div>
                <w:div w:id="504591299">
                  <w:marLeft w:val="0"/>
                  <w:marRight w:val="0"/>
                  <w:marTop w:val="0"/>
                  <w:marBottom w:val="0"/>
                  <w:divBdr>
                    <w:top w:val="none" w:sz="0" w:space="0" w:color="auto"/>
                    <w:left w:val="none" w:sz="0" w:space="0" w:color="auto"/>
                    <w:bottom w:val="none" w:sz="0" w:space="0" w:color="auto"/>
                    <w:right w:val="none" w:sz="0" w:space="0" w:color="auto"/>
                  </w:divBdr>
                  <w:divsChild>
                    <w:div w:id="1751803738">
                      <w:marLeft w:val="0"/>
                      <w:marRight w:val="0"/>
                      <w:marTop w:val="0"/>
                      <w:marBottom w:val="0"/>
                      <w:divBdr>
                        <w:top w:val="none" w:sz="0" w:space="0" w:color="auto"/>
                        <w:left w:val="none" w:sz="0" w:space="0" w:color="auto"/>
                        <w:bottom w:val="none" w:sz="0" w:space="0" w:color="auto"/>
                        <w:right w:val="none" w:sz="0" w:space="0" w:color="auto"/>
                      </w:divBdr>
                    </w:div>
                  </w:divsChild>
                </w:div>
                <w:div w:id="2106993706">
                  <w:marLeft w:val="0"/>
                  <w:marRight w:val="0"/>
                  <w:marTop w:val="0"/>
                  <w:marBottom w:val="0"/>
                  <w:divBdr>
                    <w:top w:val="none" w:sz="0" w:space="0" w:color="auto"/>
                    <w:left w:val="none" w:sz="0" w:space="0" w:color="auto"/>
                    <w:bottom w:val="none" w:sz="0" w:space="0" w:color="auto"/>
                    <w:right w:val="none" w:sz="0" w:space="0" w:color="auto"/>
                  </w:divBdr>
                  <w:divsChild>
                    <w:div w:id="701130903">
                      <w:marLeft w:val="0"/>
                      <w:marRight w:val="0"/>
                      <w:marTop w:val="0"/>
                      <w:marBottom w:val="0"/>
                      <w:divBdr>
                        <w:top w:val="none" w:sz="0" w:space="0" w:color="auto"/>
                        <w:left w:val="none" w:sz="0" w:space="0" w:color="auto"/>
                        <w:bottom w:val="none" w:sz="0" w:space="0" w:color="auto"/>
                        <w:right w:val="none" w:sz="0" w:space="0" w:color="auto"/>
                      </w:divBdr>
                    </w:div>
                  </w:divsChild>
                </w:div>
                <w:div w:id="551382545">
                  <w:marLeft w:val="0"/>
                  <w:marRight w:val="0"/>
                  <w:marTop w:val="0"/>
                  <w:marBottom w:val="0"/>
                  <w:divBdr>
                    <w:top w:val="none" w:sz="0" w:space="0" w:color="auto"/>
                    <w:left w:val="none" w:sz="0" w:space="0" w:color="auto"/>
                    <w:bottom w:val="none" w:sz="0" w:space="0" w:color="auto"/>
                    <w:right w:val="none" w:sz="0" w:space="0" w:color="auto"/>
                  </w:divBdr>
                  <w:divsChild>
                    <w:div w:id="1710915143">
                      <w:marLeft w:val="0"/>
                      <w:marRight w:val="0"/>
                      <w:marTop w:val="0"/>
                      <w:marBottom w:val="0"/>
                      <w:divBdr>
                        <w:top w:val="none" w:sz="0" w:space="0" w:color="auto"/>
                        <w:left w:val="none" w:sz="0" w:space="0" w:color="auto"/>
                        <w:bottom w:val="none" w:sz="0" w:space="0" w:color="auto"/>
                        <w:right w:val="none" w:sz="0" w:space="0" w:color="auto"/>
                      </w:divBdr>
                    </w:div>
                  </w:divsChild>
                </w:div>
                <w:div w:id="1256287433">
                  <w:marLeft w:val="0"/>
                  <w:marRight w:val="0"/>
                  <w:marTop w:val="0"/>
                  <w:marBottom w:val="0"/>
                  <w:divBdr>
                    <w:top w:val="none" w:sz="0" w:space="0" w:color="auto"/>
                    <w:left w:val="none" w:sz="0" w:space="0" w:color="auto"/>
                    <w:bottom w:val="none" w:sz="0" w:space="0" w:color="auto"/>
                    <w:right w:val="none" w:sz="0" w:space="0" w:color="auto"/>
                  </w:divBdr>
                  <w:divsChild>
                    <w:div w:id="725879881">
                      <w:marLeft w:val="0"/>
                      <w:marRight w:val="0"/>
                      <w:marTop w:val="0"/>
                      <w:marBottom w:val="0"/>
                      <w:divBdr>
                        <w:top w:val="none" w:sz="0" w:space="0" w:color="auto"/>
                        <w:left w:val="none" w:sz="0" w:space="0" w:color="auto"/>
                        <w:bottom w:val="none" w:sz="0" w:space="0" w:color="auto"/>
                        <w:right w:val="none" w:sz="0" w:space="0" w:color="auto"/>
                      </w:divBdr>
                    </w:div>
                  </w:divsChild>
                </w:div>
                <w:div w:id="52777331">
                  <w:marLeft w:val="0"/>
                  <w:marRight w:val="0"/>
                  <w:marTop w:val="0"/>
                  <w:marBottom w:val="0"/>
                  <w:divBdr>
                    <w:top w:val="none" w:sz="0" w:space="0" w:color="auto"/>
                    <w:left w:val="none" w:sz="0" w:space="0" w:color="auto"/>
                    <w:bottom w:val="none" w:sz="0" w:space="0" w:color="auto"/>
                    <w:right w:val="none" w:sz="0" w:space="0" w:color="auto"/>
                  </w:divBdr>
                  <w:divsChild>
                    <w:div w:id="254364063">
                      <w:marLeft w:val="0"/>
                      <w:marRight w:val="0"/>
                      <w:marTop w:val="0"/>
                      <w:marBottom w:val="0"/>
                      <w:divBdr>
                        <w:top w:val="none" w:sz="0" w:space="0" w:color="auto"/>
                        <w:left w:val="none" w:sz="0" w:space="0" w:color="auto"/>
                        <w:bottom w:val="none" w:sz="0" w:space="0" w:color="auto"/>
                        <w:right w:val="none" w:sz="0" w:space="0" w:color="auto"/>
                      </w:divBdr>
                    </w:div>
                  </w:divsChild>
                </w:div>
                <w:div w:id="658851713">
                  <w:marLeft w:val="0"/>
                  <w:marRight w:val="0"/>
                  <w:marTop w:val="0"/>
                  <w:marBottom w:val="0"/>
                  <w:divBdr>
                    <w:top w:val="none" w:sz="0" w:space="0" w:color="auto"/>
                    <w:left w:val="none" w:sz="0" w:space="0" w:color="auto"/>
                    <w:bottom w:val="none" w:sz="0" w:space="0" w:color="auto"/>
                    <w:right w:val="none" w:sz="0" w:space="0" w:color="auto"/>
                  </w:divBdr>
                  <w:divsChild>
                    <w:div w:id="1014646209">
                      <w:marLeft w:val="0"/>
                      <w:marRight w:val="0"/>
                      <w:marTop w:val="0"/>
                      <w:marBottom w:val="0"/>
                      <w:divBdr>
                        <w:top w:val="none" w:sz="0" w:space="0" w:color="auto"/>
                        <w:left w:val="none" w:sz="0" w:space="0" w:color="auto"/>
                        <w:bottom w:val="none" w:sz="0" w:space="0" w:color="auto"/>
                        <w:right w:val="none" w:sz="0" w:space="0" w:color="auto"/>
                      </w:divBdr>
                    </w:div>
                  </w:divsChild>
                </w:div>
                <w:div w:id="2038778016">
                  <w:marLeft w:val="0"/>
                  <w:marRight w:val="0"/>
                  <w:marTop w:val="0"/>
                  <w:marBottom w:val="0"/>
                  <w:divBdr>
                    <w:top w:val="none" w:sz="0" w:space="0" w:color="auto"/>
                    <w:left w:val="none" w:sz="0" w:space="0" w:color="auto"/>
                    <w:bottom w:val="none" w:sz="0" w:space="0" w:color="auto"/>
                    <w:right w:val="none" w:sz="0" w:space="0" w:color="auto"/>
                  </w:divBdr>
                  <w:divsChild>
                    <w:div w:id="1330712567">
                      <w:marLeft w:val="0"/>
                      <w:marRight w:val="0"/>
                      <w:marTop w:val="0"/>
                      <w:marBottom w:val="0"/>
                      <w:divBdr>
                        <w:top w:val="none" w:sz="0" w:space="0" w:color="auto"/>
                        <w:left w:val="none" w:sz="0" w:space="0" w:color="auto"/>
                        <w:bottom w:val="none" w:sz="0" w:space="0" w:color="auto"/>
                        <w:right w:val="none" w:sz="0" w:space="0" w:color="auto"/>
                      </w:divBdr>
                    </w:div>
                  </w:divsChild>
                </w:div>
                <w:div w:id="1792673438">
                  <w:marLeft w:val="0"/>
                  <w:marRight w:val="0"/>
                  <w:marTop w:val="0"/>
                  <w:marBottom w:val="0"/>
                  <w:divBdr>
                    <w:top w:val="none" w:sz="0" w:space="0" w:color="auto"/>
                    <w:left w:val="none" w:sz="0" w:space="0" w:color="auto"/>
                    <w:bottom w:val="none" w:sz="0" w:space="0" w:color="auto"/>
                    <w:right w:val="none" w:sz="0" w:space="0" w:color="auto"/>
                  </w:divBdr>
                  <w:divsChild>
                    <w:div w:id="1141390289">
                      <w:marLeft w:val="0"/>
                      <w:marRight w:val="0"/>
                      <w:marTop w:val="0"/>
                      <w:marBottom w:val="0"/>
                      <w:divBdr>
                        <w:top w:val="none" w:sz="0" w:space="0" w:color="auto"/>
                        <w:left w:val="none" w:sz="0" w:space="0" w:color="auto"/>
                        <w:bottom w:val="none" w:sz="0" w:space="0" w:color="auto"/>
                        <w:right w:val="none" w:sz="0" w:space="0" w:color="auto"/>
                      </w:divBdr>
                    </w:div>
                  </w:divsChild>
                </w:div>
                <w:div w:id="1522355302">
                  <w:marLeft w:val="0"/>
                  <w:marRight w:val="0"/>
                  <w:marTop w:val="0"/>
                  <w:marBottom w:val="0"/>
                  <w:divBdr>
                    <w:top w:val="none" w:sz="0" w:space="0" w:color="auto"/>
                    <w:left w:val="none" w:sz="0" w:space="0" w:color="auto"/>
                    <w:bottom w:val="none" w:sz="0" w:space="0" w:color="auto"/>
                    <w:right w:val="none" w:sz="0" w:space="0" w:color="auto"/>
                  </w:divBdr>
                  <w:divsChild>
                    <w:div w:id="16439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32508">
          <w:marLeft w:val="0"/>
          <w:marRight w:val="0"/>
          <w:marTop w:val="0"/>
          <w:marBottom w:val="0"/>
          <w:divBdr>
            <w:top w:val="none" w:sz="0" w:space="0" w:color="auto"/>
            <w:left w:val="none" w:sz="0" w:space="0" w:color="auto"/>
            <w:bottom w:val="none" w:sz="0" w:space="0" w:color="auto"/>
            <w:right w:val="none" w:sz="0" w:space="0" w:color="auto"/>
          </w:divBdr>
        </w:div>
        <w:div w:id="1883129243">
          <w:marLeft w:val="0"/>
          <w:marRight w:val="0"/>
          <w:marTop w:val="0"/>
          <w:marBottom w:val="0"/>
          <w:divBdr>
            <w:top w:val="none" w:sz="0" w:space="0" w:color="auto"/>
            <w:left w:val="none" w:sz="0" w:space="0" w:color="auto"/>
            <w:bottom w:val="none" w:sz="0" w:space="0" w:color="auto"/>
            <w:right w:val="none" w:sz="0" w:space="0" w:color="auto"/>
          </w:divBdr>
        </w:div>
        <w:div w:id="1802309577">
          <w:marLeft w:val="0"/>
          <w:marRight w:val="0"/>
          <w:marTop w:val="0"/>
          <w:marBottom w:val="0"/>
          <w:divBdr>
            <w:top w:val="none" w:sz="0" w:space="0" w:color="auto"/>
            <w:left w:val="none" w:sz="0" w:space="0" w:color="auto"/>
            <w:bottom w:val="none" w:sz="0" w:space="0" w:color="auto"/>
            <w:right w:val="none" w:sz="0" w:space="0" w:color="auto"/>
          </w:divBdr>
        </w:div>
        <w:div w:id="827790669">
          <w:marLeft w:val="0"/>
          <w:marRight w:val="0"/>
          <w:marTop w:val="0"/>
          <w:marBottom w:val="0"/>
          <w:divBdr>
            <w:top w:val="none" w:sz="0" w:space="0" w:color="auto"/>
            <w:left w:val="none" w:sz="0" w:space="0" w:color="auto"/>
            <w:bottom w:val="none" w:sz="0" w:space="0" w:color="auto"/>
            <w:right w:val="none" w:sz="0" w:space="0" w:color="auto"/>
          </w:divBdr>
        </w:div>
        <w:div w:id="1172376466">
          <w:marLeft w:val="0"/>
          <w:marRight w:val="0"/>
          <w:marTop w:val="0"/>
          <w:marBottom w:val="0"/>
          <w:divBdr>
            <w:top w:val="none" w:sz="0" w:space="0" w:color="auto"/>
            <w:left w:val="none" w:sz="0" w:space="0" w:color="auto"/>
            <w:bottom w:val="none" w:sz="0" w:space="0" w:color="auto"/>
            <w:right w:val="none" w:sz="0" w:space="0" w:color="auto"/>
          </w:divBdr>
        </w:div>
        <w:div w:id="2023193784">
          <w:marLeft w:val="0"/>
          <w:marRight w:val="0"/>
          <w:marTop w:val="0"/>
          <w:marBottom w:val="0"/>
          <w:divBdr>
            <w:top w:val="none" w:sz="0" w:space="0" w:color="auto"/>
            <w:left w:val="none" w:sz="0" w:space="0" w:color="auto"/>
            <w:bottom w:val="none" w:sz="0" w:space="0" w:color="auto"/>
            <w:right w:val="none" w:sz="0" w:space="0" w:color="auto"/>
          </w:divBdr>
        </w:div>
        <w:div w:id="1237476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4C5A5-A0E6-4244-8931-46F9DC12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10</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Links>
    <vt:vector size="66" baseType="variant">
      <vt:variant>
        <vt:i4>1179700</vt:i4>
      </vt:variant>
      <vt:variant>
        <vt:i4>62</vt:i4>
      </vt:variant>
      <vt:variant>
        <vt:i4>0</vt:i4>
      </vt:variant>
      <vt:variant>
        <vt:i4>5</vt:i4>
      </vt:variant>
      <vt:variant>
        <vt:lpwstr/>
      </vt:variant>
      <vt:variant>
        <vt:lpwstr>_Toc124787974</vt:lpwstr>
      </vt:variant>
      <vt:variant>
        <vt:i4>1179700</vt:i4>
      </vt:variant>
      <vt:variant>
        <vt:i4>56</vt:i4>
      </vt:variant>
      <vt:variant>
        <vt:i4>0</vt:i4>
      </vt:variant>
      <vt:variant>
        <vt:i4>5</vt:i4>
      </vt:variant>
      <vt:variant>
        <vt:lpwstr/>
      </vt:variant>
      <vt:variant>
        <vt:lpwstr>_Toc124787973</vt:lpwstr>
      </vt:variant>
      <vt:variant>
        <vt:i4>1179700</vt:i4>
      </vt:variant>
      <vt:variant>
        <vt:i4>50</vt:i4>
      </vt:variant>
      <vt:variant>
        <vt:i4>0</vt:i4>
      </vt:variant>
      <vt:variant>
        <vt:i4>5</vt:i4>
      </vt:variant>
      <vt:variant>
        <vt:lpwstr/>
      </vt:variant>
      <vt:variant>
        <vt:lpwstr>_Toc124787972</vt:lpwstr>
      </vt:variant>
      <vt:variant>
        <vt:i4>1179700</vt:i4>
      </vt:variant>
      <vt:variant>
        <vt:i4>44</vt:i4>
      </vt:variant>
      <vt:variant>
        <vt:i4>0</vt:i4>
      </vt:variant>
      <vt:variant>
        <vt:i4>5</vt:i4>
      </vt:variant>
      <vt:variant>
        <vt:lpwstr/>
      </vt:variant>
      <vt:variant>
        <vt:lpwstr>_Toc124787971</vt:lpwstr>
      </vt:variant>
      <vt:variant>
        <vt:i4>1179700</vt:i4>
      </vt:variant>
      <vt:variant>
        <vt:i4>38</vt:i4>
      </vt:variant>
      <vt:variant>
        <vt:i4>0</vt:i4>
      </vt:variant>
      <vt:variant>
        <vt:i4>5</vt:i4>
      </vt:variant>
      <vt:variant>
        <vt:lpwstr/>
      </vt:variant>
      <vt:variant>
        <vt:lpwstr>_Toc124787970</vt:lpwstr>
      </vt:variant>
      <vt:variant>
        <vt:i4>1245236</vt:i4>
      </vt:variant>
      <vt:variant>
        <vt:i4>32</vt:i4>
      </vt:variant>
      <vt:variant>
        <vt:i4>0</vt:i4>
      </vt:variant>
      <vt:variant>
        <vt:i4>5</vt:i4>
      </vt:variant>
      <vt:variant>
        <vt:lpwstr/>
      </vt:variant>
      <vt:variant>
        <vt:lpwstr>_Toc124787969</vt:lpwstr>
      </vt:variant>
      <vt:variant>
        <vt:i4>1245236</vt:i4>
      </vt:variant>
      <vt:variant>
        <vt:i4>26</vt:i4>
      </vt:variant>
      <vt:variant>
        <vt:i4>0</vt:i4>
      </vt:variant>
      <vt:variant>
        <vt:i4>5</vt:i4>
      </vt:variant>
      <vt:variant>
        <vt:lpwstr/>
      </vt:variant>
      <vt:variant>
        <vt:lpwstr>_Toc124787968</vt:lpwstr>
      </vt:variant>
      <vt:variant>
        <vt:i4>1245236</vt:i4>
      </vt:variant>
      <vt:variant>
        <vt:i4>20</vt:i4>
      </vt:variant>
      <vt:variant>
        <vt:i4>0</vt:i4>
      </vt:variant>
      <vt:variant>
        <vt:i4>5</vt:i4>
      </vt:variant>
      <vt:variant>
        <vt:lpwstr/>
      </vt:variant>
      <vt:variant>
        <vt:lpwstr>_Toc124787967</vt:lpwstr>
      </vt:variant>
      <vt:variant>
        <vt:i4>1245236</vt:i4>
      </vt:variant>
      <vt:variant>
        <vt:i4>14</vt:i4>
      </vt:variant>
      <vt:variant>
        <vt:i4>0</vt:i4>
      </vt:variant>
      <vt:variant>
        <vt:i4>5</vt:i4>
      </vt:variant>
      <vt:variant>
        <vt:lpwstr/>
      </vt:variant>
      <vt:variant>
        <vt:lpwstr>_Toc124787966</vt:lpwstr>
      </vt:variant>
      <vt:variant>
        <vt:i4>1245236</vt:i4>
      </vt:variant>
      <vt:variant>
        <vt:i4>8</vt:i4>
      </vt:variant>
      <vt:variant>
        <vt:i4>0</vt:i4>
      </vt:variant>
      <vt:variant>
        <vt:i4>5</vt:i4>
      </vt:variant>
      <vt:variant>
        <vt:lpwstr/>
      </vt:variant>
      <vt:variant>
        <vt:lpwstr>_Toc124787965</vt:lpwstr>
      </vt:variant>
      <vt:variant>
        <vt:i4>1245236</vt:i4>
      </vt:variant>
      <vt:variant>
        <vt:i4>2</vt:i4>
      </vt:variant>
      <vt:variant>
        <vt:i4>0</vt:i4>
      </vt:variant>
      <vt:variant>
        <vt:i4>5</vt:i4>
      </vt:variant>
      <vt:variant>
        <vt:lpwstr/>
      </vt:variant>
      <vt:variant>
        <vt:lpwstr>_Toc124787964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Ward-Rice, Susan</dc:creator>
  <cp:keywords/>
  <dc:description/>
  <cp:lastModifiedBy>Susan Ward-Rice</cp:lastModifiedBy>
  <cp:revision>120</cp:revision>
  <dcterms:created xsi:type="dcterms:W3CDTF">2023-01-16T17:23:00Z</dcterms:created>
  <dcterms:modified xsi:type="dcterms:W3CDTF">2023-01-17T14:58:00Z</dcterms:modified>
</cp:coreProperties>
</file>