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B763" w14:textId="2284755A" w:rsidR="00E6014B" w:rsidRPr="00492AFB" w:rsidRDefault="00335CA0" w:rsidP="00492AFB">
      <w:pPr>
        <w:pStyle w:val="Heading1"/>
        <w:rPr>
          <w:rFonts w:ascii="Arial" w:hAnsi="Arial" w:cs="Arial"/>
        </w:rPr>
      </w:pPr>
      <w:bookmarkStart w:id="0" w:name="_Toc158713563"/>
      <w:bookmarkStart w:id="1" w:name="_Toc162439098"/>
      <w:bookmarkStart w:id="2" w:name="_Toc1037783818"/>
      <w:r w:rsidRPr="6CE4D870">
        <w:rPr>
          <w:rFonts w:ascii="Arial" w:hAnsi="Arial" w:cs="Arial"/>
        </w:rPr>
        <w:t>Gender Pay</w:t>
      </w:r>
      <w:r w:rsidRPr="00DA0BDA">
        <w:rPr>
          <w:rFonts w:ascii="Arial" w:hAnsi="Arial" w:cs="Arial"/>
        </w:rPr>
        <w:t xml:space="preserve"> Gap Report 2023</w:t>
      </w:r>
      <w:bookmarkEnd w:id="0"/>
      <w:bookmarkEnd w:id="1"/>
      <w:r w:rsidR="00492AFB">
        <w:rPr>
          <w:rFonts w:ascii="Arial" w:hAnsi="Arial" w:cs="Arial"/>
        </w:rPr>
        <w:t xml:space="preserve"> – Accessible version</w:t>
      </w:r>
      <w:bookmarkEnd w:id="2"/>
    </w:p>
    <w:p w14:paraId="0DFB3987" w14:textId="77777777" w:rsidR="00335CA0" w:rsidRPr="00DA0BDA" w:rsidRDefault="00335CA0">
      <w:pPr>
        <w:rPr>
          <w:rFonts w:ascii="Arial" w:hAnsi="Arial" w:cs="Arial"/>
        </w:rPr>
      </w:pPr>
    </w:p>
    <w:p w14:paraId="5296DA29" w14:textId="77777777" w:rsidR="00335CA0" w:rsidRPr="00DA0BDA" w:rsidRDefault="00335CA0">
      <w:pPr>
        <w:rPr>
          <w:rFonts w:ascii="Arial" w:hAnsi="Arial" w:cs="Arial"/>
        </w:rPr>
      </w:pPr>
    </w:p>
    <w:p w14:paraId="223A360C" w14:textId="77777777" w:rsidR="00335CA0" w:rsidRPr="00DA0BDA" w:rsidRDefault="00335CA0">
      <w:pPr>
        <w:rPr>
          <w:rFonts w:ascii="Arial" w:hAnsi="Arial" w:cs="Arial"/>
        </w:rPr>
      </w:pPr>
    </w:p>
    <w:p w14:paraId="3A87132C" w14:textId="77777777" w:rsidR="00335CA0" w:rsidRPr="00DA0BDA" w:rsidRDefault="00335CA0">
      <w:pPr>
        <w:rPr>
          <w:rFonts w:ascii="Arial" w:hAnsi="Arial" w:cs="Arial"/>
        </w:rPr>
      </w:pPr>
    </w:p>
    <w:p w14:paraId="2B5CE7C1" w14:textId="77777777" w:rsidR="00335CA0" w:rsidRPr="00DA0BDA" w:rsidRDefault="00335CA0">
      <w:pPr>
        <w:rPr>
          <w:rFonts w:ascii="Arial" w:hAnsi="Arial" w:cs="Arial"/>
        </w:rPr>
      </w:pPr>
    </w:p>
    <w:p w14:paraId="22E28E52" w14:textId="77777777" w:rsidR="00335CA0" w:rsidRPr="00DA0BDA" w:rsidRDefault="00335CA0">
      <w:pPr>
        <w:rPr>
          <w:rFonts w:ascii="Arial" w:hAnsi="Arial" w:cs="Arial"/>
        </w:rPr>
      </w:pPr>
    </w:p>
    <w:p w14:paraId="4638F248" w14:textId="77777777" w:rsidR="00335CA0" w:rsidRPr="00DA0BDA" w:rsidRDefault="00335CA0">
      <w:pPr>
        <w:rPr>
          <w:rFonts w:ascii="Arial" w:hAnsi="Arial" w:cs="Arial"/>
        </w:rPr>
      </w:pPr>
    </w:p>
    <w:p w14:paraId="31A8B24F" w14:textId="77777777" w:rsidR="00335CA0" w:rsidRPr="00DA0BDA" w:rsidRDefault="00335CA0">
      <w:pPr>
        <w:rPr>
          <w:rFonts w:ascii="Arial" w:hAnsi="Arial" w:cs="Arial"/>
        </w:rPr>
      </w:pPr>
    </w:p>
    <w:p w14:paraId="715F9119" w14:textId="77777777" w:rsidR="00335CA0" w:rsidRPr="00DA0BDA" w:rsidRDefault="00335CA0">
      <w:pPr>
        <w:rPr>
          <w:rFonts w:ascii="Arial" w:hAnsi="Arial" w:cs="Arial"/>
        </w:rPr>
      </w:pPr>
    </w:p>
    <w:p w14:paraId="2D85FF4D" w14:textId="77777777" w:rsidR="00335CA0" w:rsidRPr="00DA0BDA" w:rsidRDefault="00335CA0">
      <w:pPr>
        <w:rPr>
          <w:rFonts w:ascii="Arial" w:hAnsi="Arial" w:cs="Arial"/>
        </w:rPr>
      </w:pPr>
    </w:p>
    <w:p w14:paraId="7E602929" w14:textId="77777777" w:rsidR="00335CA0" w:rsidRPr="00DA0BDA" w:rsidRDefault="00335CA0">
      <w:pPr>
        <w:rPr>
          <w:rFonts w:ascii="Arial" w:hAnsi="Arial" w:cs="Arial"/>
        </w:rPr>
      </w:pPr>
    </w:p>
    <w:p w14:paraId="18D4E0FC" w14:textId="77777777" w:rsidR="00335CA0" w:rsidRPr="00DA0BDA" w:rsidRDefault="00335CA0">
      <w:pPr>
        <w:rPr>
          <w:rFonts w:ascii="Arial" w:hAnsi="Arial" w:cs="Arial"/>
        </w:rPr>
      </w:pPr>
    </w:p>
    <w:p w14:paraId="448D9BF6" w14:textId="77777777" w:rsidR="00335CA0" w:rsidRPr="00DA0BDA" w:rsidRDefault="00335CA0">
      <w:pPr>
        <w:rPr>
          <w:rFonts w:ascii="Arial" w:hAnsi="Arial" w:cs="Arial"/>
        </w:rPr>
      </w:pPr>
    </w:p>
    <w:p w14:paraId="60C6929B" w14:textId="77777777" w:rsidR="00335CA0" w:rsidRPr="00DA0BDA" w:rsidRDefault="00335CA0">
      <w:pPr>
        <w:rPr>
          <w:rFonts w:ascii="Arial" w:hAnsi="Arial" w:cs="Arial"/>
        </w:rPr>
      </w:pPr>
    </w:p>
    <w:p w14:paraId="580EB000" w14:textId="77777777" w:rsidR="00335CA0" w:rsidRPr="00DA0BDA" w:rsidRDefault="00335CA0">
      <w:pPr>
        <w:rPr>
          <w:rFonts w:ascii="Arial" w:hAnsi="Arial" w:cs="Arial"/>
        </w:rPr>
      </w:pPr>
    </w:p>
    <w:p w14:paraId="21863A4A" w14:textId="77777777" w:rsidR="00335CA0" w:rsidRPr="00DA0BDA" w:rsidRDefault="00335CA0">
      <w:pPr>
        <w:rPr>
          <w:rFonts w:ascii="Arial" w:hAnsi="Arial" w:cs="Arial"/>
        </w:rPr>
      </w:pPr>
    </w:p>
    <w:p w14:paraId="2F1842C1" w14:textId="77777777" w:rsidR="00335CA0" w:rsidRPr="00DA0BDA" w:rsidRDefault="00335CA0">
      <w:pPr>
        <w:rPr>
          <w:rFonts w:ascii="Arial" w:hAnsi="Arial" w:cs="Arial"/>
        </w:rPr>
      </w:pPr>
    </w:p>
    <w:p w14:paraId="4C3F7260" w14:textId="77777777" w:rsidR="00335CA0" w:rsidRPr="00DA0BDA" w:rsidRDefault="00335CA0">
      <w:pPr>
        <w:rPr>
          <w:rFonts w:ascii="Arial" w:hAnsi="Arial" w:cs="Arial"/>
        </w:rPr>
      </w:pPr>
    </w:p>
    <w:p w14:paraId="4100F6E3" w14:textId="77777777" w:rsidR="00335CA0" w:rsidRPr="00DA0BDA" w:rsidRDefault="00335CA0">
      <w:pPr>
        <w:rPr>
          <w:rFonts w:ascii="Arial" w:hAnsi="Arial" w:cs="Arial"/>
        </w:rPr>
      </w:pPr>
    </w:p>
    <w:p w14:paraId="38E57458" w14:textId="77777777" w:rsidR="00335CA0" w:rsidRPr="00DA0BDA" w:rsidRDefault="00335CA0">
      <w:pPr>
        <w:rPr>
          <w:rFonts w:ascii="Arial" w:hAnsi="Arial" w:cs="Arial"/>
        </w:rPr>
      </w:pPr>
    </w:p>
    <w:p w14:paraId="7135FF2F" w14:textId="77777777" w:rsidR="00335CA0" w:rsidRPr="00DA0BDA" w:rsidRDefault="00335CA0">
      <w:pPr>
        <w:rPr>
          <w:rFonts w:ascii="Arial" w:hAnsi="Arial" w:cs="Arial"/>
        </w:rPr>
      </w:pPr>
    </w:p>
    <w:p w14:paraId="6D6A42F3" w14:textId="77777777" w:rsidR="00335CA0" w:rsidRPr="00DA0BDA" w:rsidRDefault="00335CA0">
      <w:pPr>
        <w:rPr>
          <w:rFonts w:ascii="Arial" w:hAnsi="Arial" w:cs="Arial"/>
        </w:rPr>
      </w:pPr>
    </w:p>
    <w:p w14:paraId="6619EC80" w14:textId="77777777" w:rsidR="00335CA0" w:rsidRPr="00DA0BDA" w:rsidRDefault="00335CA0">
      <w:pPr>
        <w:rPr>
          <w:rFonts w:ascii="Arial" w:hAnsi="Arial" w:cs="Arial"/>
        </w:rPr>
      </w:pPr>
    </w:p>
    <w:p w14:paraId="3BBADEBA" w14:textId="0B6F4B88" w:rsidR="5EC16B5E" w:rsidRPr="00DA0BDA" w:rsidRDefault="5EC16B5E">
      <w:pPr>
        <w:rPr>
          <w:rFonts w:ascii="Arial" w:hAnsi="Arial" w:cs="Arial"/>
        </w:rPr>
      </w:pPr>
      <w:r w:rsidRPr="00DA0BDA">
        <w:rPr>
          <w:rFonts w:ascii="Arial" w:hAnsi="Arial" w:cs="Arial"/>
        </w:rPr>
        <w:br w:type="page"/>
      </w:r>
    </w:p>
    <w:p w14:paraId="2F83651A" w14:textId="3124339A" w:rsidR="00335CA0" w:rsidRPr="00DA0BDA" w:rsidRDefault="00335CA0" w:rsidP="009C307B">
      <w:pPr>
        <w:pStyle w:val="Heading2"/>
        <w:rPr>
          <w:rFonts w:ascii="Arial" w:hAnsi="Arial" w:cs="Arial"/>
        </w:rPr>
      </w:pPr>
      <w:bookmarkStart w:id="3" w:name="_Toc158713564"/>
      <w:bookmarkStart w:id="4" w:name="_Toc162439099"/>
      <w:bookmarkStart w:id="5" w:name="_Toc1764455694"/>
      <w:r w:rsidRPr="00DA0BDA">
        <w:rPr>
          <w:rFonts w:ascii="Arial" w:hAnsi="Arial" w:cs="Arial"/>
        </w:rPr>
        <w:lastRenderedPageBreak/>
        <w:t>Contents</w:t>
      </w:r>
      <w:bookmarkEnd w:id="3"/>
      <w:bookmarkEnd w:id="4"/>
      <w:bookmarkEnd w:id="5"/>
    </w:p>
    <w:p w14:paraId="6F31DAE9" w14:textId="77777777" w:rsidR="00BF4DFE" w:rsidRPr="0031554E" w:rsidRDefault="00B100D9" w:rsidP="0988510F">
      <w:pPr>
        <w:pStyle w:val="TOC1"/>
        <w:tabs>
          <w:tab w:val="clear" w:pos="9016"/>
          <w:tab w:val="right" w:leader="dot" w:pos="9015"/>
        </w:tabs>
        <w:rPr>
          <w:rFonts w:ascii="Arial" w:eastAsia="Arial" w:hAnsi="Arial" w:cs="Arial"/>
          <w:noProof/>
          <w:sz w:val="24"/>
          <w:szCs w:val="24"/>
          <w:lang w:eastAsia="en-GB"/>
        </w:rPr>
      </w:pPr>
      <w:r>
        <w:fldChar w:fldCharType="begin"/>
      </w:r>
      <w:r w:rsidR="0018444D">
        <w:instrText>TOC \o "1-3" \h \z \u</w:instrText>
      </w:r>
      <w:r>
        <w:fldChar w:fldCharType="separate"/>
      </w:r>
      <w:hyperlink w:anchor="_Toc1037783818">
        <w:r w:rsidR="0988510F" w:rsidRPr="0031554E">
          <w:rPr>
            <w:rStyle w:val="Hyperlink"/>
            <w:rFonts w:ascii="Arial" w:hAnsi="Arial" w:cs="Arial"/>
          </w:rPr>
          <w:t>Gender Pay Gap Report 2023 – Accessible version</w:t>
        </w:r>
        <w:r w:rsidR="0018444D" w:rsidRPr="0031554E">
          <w:rPr>
            <w:rFonts w:ascii="Arial" w:hAnsi="Arial" w:cs="Arial"/>
          </w:rPr>
          <w:tab/>
        </w:r>
        <w:r w:rsidR="0018444D" w:rsidRPr="0031554E">
          <w:rPr>
            <w:rFonts w:ascii="Arial" w:hAnsi="Arial" w:cs="Arial"/>
          </w:rPr>
          <w:fldChar w:fldCharType="begin"/>
        </w:r>
        <w:r w:rsidR="0018444D" w:rsidRPr="0031554E">
          <w:rPr>
            <w:rFonts w:ascii="Arial" w:hAnsi="Arial" w:cs="Arial"/>
          </w:rPr>
          <w:instrText>PAGEREF _Toc1037783818 \h</w:instrText>
        </w:r>
        <w:r w:rsidR="0018444D" w:rsidRPr="0031554E">
          <w:rPr>
            <w:rFonts w:ascii="Arial" w:hAnsi="Arial" w:cs="Arial"/>
          </w:rPr>
        </w:r>
        <w:r w:rsidR="0018444D" w:rsidRPr="0031554E">
          <w:rPr>
            <w:rFonts w:ascii="Arial" w:hAnsi="Arial" w:cs="Arial"/>
          </w:rPr>
          <w:fldChar w:fldCharType="separate"/>
        </w:r>
        <w:r w:rsidR="0988510F" w:rsidRPr="0031554E">
          <w:rPr>
            <w:rStyle w:val="Hyperlink"/>
            <w:rFonts w:ascii="Arial" w:hAnsi="Arial" w:cs="Arial"/>
          </w:rPr>
          <w:t>1</w:t>
        </w:r>
        <w:r w:rsidR="0018444D" w:rsidRPr="0031554E">
          <w:rPr>
            <w:rFonts w:ascii="Arial" w:hAnsi="Arial" w:cs="Arial"/>
          </w:rPr>
          <w:fldChar w:fldCharType="end"/>
        </w:r>
      </w:hyperlink>
    </w:p>
    <w:p w14:paraId="66A81D5F" w14:textId="77777777" w:rsidR="00BF4DFE" w:rsidRPr="0031554E" w:rsidRDefault="0031554E" w:rsidP="0988510F">
      <w:pPr>
        <w:pStyle w:val="TOC2"/>
        <w:tabs>
          <w:tab w:val="right" w:leader="dot" w:pos="9015"/>
        </w:tabs>
        <w:rPr>
          <w:rFonts w:ascii="Arial" w:eastAsia="Arial" w:hAnsi="Arial" w:cs="Arial"/>
          <w:noProof/>
          <w:sz w:val="24"/>
          <w:szCs w:val="24"/>
          <w:lang w:eastAsia="en-GB"/>
        </w:rPr>
      </w:pPr>
      <w:hyperlink w:anchor="_Toc1764455694">
        <w:r w:rsidR="0988510F" w:rsidRPr="0031554E">
          <w:rPr>
            <w:rStyle w:val="Hyperlink"/>
            <w:rFonts w:ascii="Arial" w:hAnsi="Arial" w:cs="Arial"/>
          </w:rPr>
          <w:t>Contents</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_Toc1764455694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1</w:t>
        </w:r>
        <w:r w:rsidR="00B100D9" w:rsidRPr="0031554E">
          <w:rPr>
            <w:rFonts w:ascii="Arial" w:hAnsi="Arial" w:cs="Arial"/>
          </w:rPr>
          <w:fldChar w:fldCharType="end"/>
        </w:r>
      </w:hyperlink>
    </w:p>
    <w:p w14:paraId="5A7BB8AD" w14:textId="77777777" w:rsidR="00BF4DFE" w:rsidRPr="0031554E" w:rsidRDefault="0031554E" w:rsidP="0988510F">
      <w:pPr>
        <w:pStyle w:val="TOC2"/>
        <w:tabs>
          <w:tab w:val="right" w:leader="dot" w:pos="9015"/>
        </w:tabs>
        <w:rPr>
          <w:rFonts w:ascii="Arial" w:eastAsia="Arial" w:hAnsi="Arial" w:cs="Arial"/>
          <w:noProof/>
          <w:sz w:val="24"/>
          <w:szCs w:val="24"/>
          <w:lang w:eastAsia="en-GB"/>
        </w:rPr>
      </w:pPr>
      <w:hyperlink w:anchor="_Toc1914089034">
        <w:r w:rsidR="0988510F" w:rsidRPr="0031554E">
          <w:rPr>
            <w:rStyle w:val="Hyperlink"/>
            <w:rFonts w:ascii="Arial" w:hAnsi="Arial" w:cs="Arial"/>
          </w:rPr>
          <w:t>Foreword</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_Toc1914089034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2</w:t>
        </w:r>
        <w:r w:rsidR="00B100D9" w:rsidRPr="0031554E">
          <w:rPr>
            <w:rFonts w:ascii="Arial" w:hAnsi="Arial" w:cs="Arial"/>
          </w:rPr>
          <w:fldChar w:fldCharType="end"/>
        </w:r>
      </w:hyperlink>
    </w:p>
    <w:p w14:paraId="5768A5A7" w14:textId="77777777" w:rsidR="00BF4DFE" w:rsidRPr="0031554E" w:rsidRDefault="0031554E" w:rsidP="0988510F">
      <w:pPr>
        <w:pStyle w:val="TOC2"/>
        <w:tabs>
          <w:tab w:val="right" w:leader="dot" w:pos="9015"/>
        </w:tabs>
        <w:rPr>
          <w:rFonts w:ascii="Arial" w:eastAsia="Arial" w:hAnsi="Arial" w:cs="Arial"/>
          <w:noProof/>
          <w:sz w:val="24"/>
          <w:szCs w:val="24"/>
          <w:lang w:eastAsia="en-GB"/>
        </w:rPr>
      </w:pPr>
      <w:hyperlink w:anchor="_Toc1329801276">
        <w:r w:rsidR="0988510F" w:rsidRPr="0031554E">
          <w:rPr>
            <w:rStyle w:val="Hyperlink"/>
            <w:rFonts w:ascii="Arial" w:hAnsi="Arial" w:cs="Arial"/>
          </w:rPr>
          <w:t>Foreword</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_Toc1329801276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3</w:t>
        </w:r>
        <w:r w:rsidR="00B100D9" w:rsidRPr="0031554E">
          <w:rPr>
            <w:rFonts w:ascii="Arial" w:hAnsi="Arial" w:cs="Arial"/>
          </w:rPr>
          <w:fldChar w:fldCharType="end"/>
        </w:r>
      </w:hyperlink>
    </w:p>
    <w:p w14:paraId="64A7EB95" w14:textId="77777777" w:rsidR="00BF4DFE" w:rsidRPr="0031554E" w:rsidRDefault="0031554E" w:rsidP="0988510F">
      <w:pPr>
        <w:pStyle w:val="TOC2"/>
        <w:tabs>
          <w:tab w:val="right" w:leader="dot" w:pos="9015"/>
        </w:tabs>
        <w:rPr>
          <w:rFonts w:ascii="Arial" w:eastAsia="Arial" w:hAnsi="Arial" w:cs="Arial"/>
          <w:noProof/>
          <w:sz w:val="24"/>
          <w:szCs w:val="24"/>
          <w:lang w:eastAsia="en-GB"/>
        </w:rPr>
      </w:pPr>
      <w:hyperlink w:anchor="_Toc1799266702">
        <w:r w:rsidR="0988510F" w:rsidRPr="0031554E">
          <w:rPr>
            <w:rStyle w:val="Hyperlink"/>
            <w:rFonts w:ascii="Arial" w:hAnsi="Arial" w:cs="Arial"/>
          </w:rPr>
          <w:t>Our purpose</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_Toc1799266702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4</w:t>
        </w:r>
        <w:r w:rsidR="00B100D9" w:rsidRPr="0031554E">
          <w:rPr>
            <w:rFonts w:ascii="Arial" w:hAnsi="Arial" w:cs="Arial"/>
          </w:rPr>
          <w:fldChar w:fldCharType="end"/>
        </w:r>
      </w:hyperlink>
    </w:p>
    <w:p w14:paraId="19058CE5" w14:textId="77777777" w:rsidR="00BF4DFE" w:rsidRPr="0031554E" w:rsidRDefault="0031554E" w:rsidP="0988510F">
      <w:pPr>
        <w:pStyle w:val="TOC2"/>
        <w:tabs>
          <w:tab w:val="right" w:leader="dot" w:pos="9015"/>
        </w:tabs>
        <w:rPr>
          <w:rFonts w:ascii="Arial" w:eastAsia="Arial" w:hAnsi="Arial" w:cs="Arial"/>
          <w:noProof/>
          <w:sz w:val="24"/>
          <w:szCs w:val="24"/>
          <w:lang w:eastAsia="en-GB"/>
        </w:rPr>
      </w:pPr>
      <w:hyperlink w:anchor="_Toc961972286">
        <w:r w:rsidR="0988510F" w:rsidRPr="0031554E">
          <w:rPr>
            <w:rStyle w:val="Hyperlink"/>
            <w:rFonts w:ascii="Arial" w:hAnsi="Arial" w:cs="Arial"/>
          </w:rPr>
          <w:t>Overview on Gender Pay Gap reporting</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_Toc961972286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5</w:t>
        </w:r>
        <w:r w:rsidR="00B100D9" w:rsidRPr="0031554E">
          <w:rPr>
            <w:rFonts w:ascii="Arial" w:hAnsi="Arial" w:cs="Arial"/>
          </w:rPr>
          <w:fldChar w:fldCharType="end"/>
        </w:r>
      </w:hyperlink>
    </w:p>
    <w:p w14:paraId="04FAF7E6"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610848969">
        <w:r w:rsidR="0988510F" w:rsidRPr="0031554E">
          <w:rPr>
            <w:rStyle w:val="Hyperlink"/>
          </w:rPr>
          <w:t>Gender Pay versus Equal Pay</w:t>
        </w:r>
        <w:r w:rsidR="00B100D9" w:rsidRPr="0031554E">
          <w:tab/>
        </w:r>
        <w:r w:rsidR="00B100D9" w:rsidRPr="0031554E">
          <w:fldChar w:fldCharType="begin"/>
        </w:r>
        <w:r w:rsidR="00B100D9" w:rsidRPr="0031554E">
          <w:instrText>PAGEREF _Toc610848969 \h</w:instrText>
        </w:r>
        <w:r w:rsidR="00B100D9" w:rsidRPr="0031554E">
          <w:fldChar w:fldCharType="separate"/>
        </w:r>
        <w:r w:rsidR="0988510F" w:rsidRPr="0031554E">
          <w:rPr>
            <w:rStyle w:val="Hyperlink"/>
          </w:rPr>
          <w:t>6</w:t>
        </w:r>
        <w:r w:rsidR="00B100D9" w:rsidRPr="0031554E">
          <w:fldChar w:fldCharType="end"/>
        </w:r>
      </w:hyperlink>
    </w:p>
    <w:p w14:paraId="2B04E9B4"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1324080796">
        <w:r w:rsidR="0988510F" w:rsidRPr="0031554E">
          <w:rPr>
            <w:rStyle w:val="Hyperlink"/>
          </w:rPr>
          <w:t>Note on gender reporting</w:t>
        </w:r>
        <w:r w:rsidR="00B100D9" w:rsidRPr="0031554E">
          <w:tab/>
        </w:r>
        <w:r w:rsidR="00B100D9" w:rsidRPr="0031554E">
          <w:fldChar w:fldCharType="begin"/>
        </w:r>
        <w:r w:rsidR="00B100D9" w:rsidRPr="0031554E">
          <w:instrText>PAGEREF _Toc1324080796 \h</w:instrText>
        </w:r>
        <w:r w:rsidR="00B100D9" w:rsidRPr="0031554E">
          <w:fldChar w:fldCharType="separate"/>
        </w:r>
        <w:r w:rsidR="0988510F" w:rsidRPr="0031554E">
          <w:rPr>
            <w:rStyle w:val="Hyperlink"/>
          </w:rPr>
          <w:t>6</w:t>
        </w:r>
        <w:r w:rsidR="00B100D9" w:rsidRPr="0031554E">
          <w:fldChar w:fldCharType="end"/>
        </w:r>
      </w:hyperlink>
    </w:p>
    <w:p w14:paraId="76866C3D" w14:textId="77777777" w:rsidR="00BF4DFE" w:rsidRPr="0031554E" w:rsidRDefault="0031554E" w:rsidP="0988510F">
      <w:pPr>
        <w:pStyle w:val="TOC2"/>
        <w:tabs>
          <w:tab w:val="right" w:leader="dot" w:pos="9015"/>
        </w:tabs>
        <w:rPr>
          <w:rFonts w:ascii="Arial" w:eastAsia="Arial" w:hAnsi="Arial" w:cs="Arial"/>
          <w:noProof/>
          <w:sz w:val="24"/>
          <w:szCs w:val="24"/>
          <w:lang w:eastAsia="en-GB"/>
        </w:rPr>
      </w:pPr>
      <w:hyperlink w:anchor="_Toc1366699849">
        <w:r w:rsidR="0988510F" w:rsidRPr="0031554E">
          <w:rPr>
            <w:rStyle w:val="Hyperlink"/>
            <w:rFonts w:ascii="Arial" w:hAnsi="Arial" w:cs="Arial"/>
          </w:rPr>
          <w:t>Key facts</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_Toc1366699849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6</w:t>
        </w:r>
        <w:r w:rsidR="00B100D9" w:rsidRPr="0031554E">
          <w:rPr>
            <w:rFonts w:ascii="Arial" w:hAnsi="Arial" w:cs="Arial"/>
          </w:rPr>
          <w:fldChar w:fldCharType="end"/>
        </w:r>
      </w:hyperlink>
    </w:p>
    <w:p w14:paraId="1DF355CD" w14:textId="77777777" w:rsidR="00BF4DFE" w:rsidRPr="0031554E" w:rsidRDefault="0031554E" w:rsidP="0988510F">
      <w:pPr>
        <w:pStyle w:val="TOC2"/>
        <w:tabs>
          <w:tab w:val="right" w:leader="dot" w:pos="9015"/>
        </w:tabs>
        <w:rPr>
          <w:rFonts w:ascii="Arial" w:eastAsia="Arial" w:hAnsi="Arial" w:cs="Arial"/>
          <w:sz w:val="24"/>
          <w:szCs w:val="24"/>
          <w:lang w:eastAsia="en-GB"/>
        </w:rPr>
      </w:pPr>
      <w:hyperlink w:anchor="_Toc1479893048">
        <w:r w:rsidR="0988510F" w:rsidRPr="0031554E">
          <w:rPr>
            <w:rStyle w:val="Hyperlink"/>
            <w:rFonts w:ascii="Arial" w:hAnsi="Arial" w:cs="Arial"/>
          </w:rPr>
          <w:t>Key Findings</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_Toc1479893048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7</w:t>
        </w:r>
        <w:r w:rsidR="00B100D9" w:rsidRPr="0031554E">
          <w:rPr>
            <w:rFonts w:ascii="Arial" w:hAnsi="Arial" w:cs="Arial"/>
          </w:rPr>
          <w:fldChar w:fldCharType="end"/>
        </w:r>
      </w:hyperlink>
    </w:p>
    <w:p w14:paraId="1B2F53D8" w14:textId="77777777" w:rsidR="00BF4DFE" w:rsidRPr="0031554E" w:rsidRDefault="0031554E" w:rsidP="0988510F">
      <w:pPr>
        <w:pStyle w:val="TOC2"/>
        <w:tabs>
          <w:tab w:val="right" w:leader="dot" w:pos="9015"/>
        </w:tabs>
        <w:rPr>
          <w:rFonts w:ascii="Arial" w:eastAsia="Arial" w:hAnsi="Arial" w:cs="Arial"/>
          <w:sz w:val="24"/>
          <w:szCs w:val="24"/>
          <w:lang w:eastAsia="en-GB"/>
        </w:rPr>
      </w:pPr>
      <w:hyperlink w:anchor="_Toc1474746427">
        <w:r w:rsidR="0988510F" w:rsidRPr="0031554E">
          <w:rPr>
            <w:rStyle w:val="Hyperlink"/>
            <w:rFonts w:ascii="Arial" w:hAnsi="Arial" w:cs="Arial"/>
          </w:rPr>
          <w:t>Work we are undertaking to reduce our gender pay gap</w:t>
        </w:r>
        <w:r w:rsidR="00B100D9" w:rsidRPr="0031554E">
          <w:rPr>
            <w:rFonts w:ascii="Arial" w:hAnsi="Arial" w:cs="Arial"/>
          </w:rPr>
          <w:tab/>
        </w:r>
        <w:r w:rsidR="00B100D9" w:rsidRPr="0031554E">
          <w:rPr>
            <w:rFonts w:ascii="Arial" w:hAnsi="Arial" w:cs="Arial"/>
          </w:rPr>
          <w:fldChar w:fldCharType="begin"/>
        </w:r>
        <w:r w:rsidR="00B100D9" w:rsidRPr="0031554E">
          <w:rPr>
            <w:rFonts w:ascii="Arial" w:hAnsi="Arial" w:cs="Arial"/>
          </w:rPr>
          <w:instrText>PAGEREF _Toc1474746427 \h</w:instrText>
        </w:r>
        <w:r w:rsidR="00B100D9" w:rsidRPr="0031554E">
          <w:rPr>
            <w:rFonts w:ascii="Arial" w:hAnsi="Arial" w:cs="Arial"/>
          </w:rPr>
        </w:r>
        <w:r w:rsidR="00B100D9" w:rsidRPr="0031554E">
          <w:rPr>
            <w:rFonts w:ascii="Arial" w:hAnsi="Arial" w:cs="Arial"/>
          </w:rPr>
          <w:fldChar w:fldCharType="separate"/>
        </w:r>
        <w:r w:rsidR="0988510F" w:rsidRPr="0031554E">
          <w:rPr>
            <w:rStyle w:val="Hyperlink"/>
            <w:rFonts w:ascii="Arial" w:hAnsi="Arial" w:cs="Arial"/>
          </w:rPr>
          <w:t>9</w:t>
        </w:r>
        <w:r w:rsidR="00B100D9" w:rsidRPr="0031554E">
          <w:rPr>
            <w:rFonts w:ascii="Arial" w:hAnsi="Arial" w:cs="Arial"/>
          </w:rPr>
          <w:fldChar w:fldCharType="end"/>
        </w:r>
      </w:hyperlink>
    </w:p>
    <w:p w14:paraId="01B04C0E"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730275830">
        <w:r w:rsidR="0988510F" w:rsidRPr="0031554E">
          <w:rPr>
            <w:rStyle w:val="Hyperlink"/>
          </w:rPr>
          <w:t>Strategic Actions</w:t>
        </w:r>
        <w:r w:rsidR="00B100D9" w:rsidRPr="0031554E">
          <w:tab/>
        </w:r>
        <w:r w:rsidR="00B100D9" w:rsidRPr="0031554E">
          <w:fldChar w:fldCharType="begin"/>
        </w:r>
        <w:r w:rsidR="00B100D9" w:rsidRPr="0031554E">
          <w:instrText>PAGEREF _Toc730275830 \h</w:instrText>
        </w:r>
        <w:r w:rsidR="00B100D9" w:rsidRPr="0031554E">
          <w:fldChar w:fldCharType="separate"/>
        </w:r>
        <w:r w:rsidR="0988510F" w:rsidRPr="0031554E">
          <w:rPr>
            <w:rStyle w:val="Hyperlink"/>
          </w:rPr>
          <w:t>10</w:t>
        </w:r>
        <w:r w:rsidR="00B100D9" w:rsidRPr="0031554E">
          <w:fldChar w:fldCharType="end"/>
        </w:r>
      </w:hyperlink>
    </w:p>
    <w:p w14:paraId="63626C9B"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789591889">
        <w:r w:rsidR="0988510F" w:rsidRPr="0031554E">
          <w:rPr>
            <w:rStyle w:val="Hyperlink"/>
          </w:rPr>
          <w:t>Creating a great place to work</w:t>
        </w:r>
        <w:r w:rsidR="00B100D9" w:rsidRPr="0031554E">
          <w:tab/>
        </w:r>
        <w:r w:rsidR="00B100D9" w:rsidRPr="0031554E">
          <w:fldChar w:fldCharType="begin"/>
        </w:r>
        <w:r w:rsidR="00B100D9" w:rsidRPr="0031554E">
          <w:instrText>PAGEREF _Toc789591889 \h</w:instrText>
        </w:r>
        <w:r w:rsidR="00B100D9" w:rsidRPr="0031554E">
          <w:fldChar w:fldCharType="separate"/>
        </w:r>
        <w:r w:rsidR="0988510F" w:rsidRPr="0031554E">
          <w:rPr>
            <w:rStyle w:val="Hyperlink"/>
          </w:rPr>
          <w:t>10</w:t>
        </w:r>
        <w:r w:rsidR="00B100D9" w:rsidRPr="0031554E">
          <w:fldChar w:fldCharType="end"/>
        </w:r>
      </w:hyperlink>
    </w:p>
    <w:p w14:paraId="51ED6701"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361440984">
        <w:r w:rsidR="0988510F" w:rsidRPr="0031554E">
          <w:rPr>
            <w:rStyle w:val="Hyperlink"/>
          </w:rPr>
          <w:t>Evolving our Early Careers</w:t>
        </w:r>
        <w:r w:rsidR="00B100D9" w:rsidRPr="0031554E">
          <w:tab/>
        </w:r>
        <w:r w:rsidR="00B100D9" w:rsidRPr="0031554E">
          <w:fldChar w:fldCharType="begin"/>
        </w:r>
        <w:r w:rsidR="00B100D9" w:rsidRPr="0031554E">
          <w:instrText>PAGEREF _Toc361440984 \h</w:instrText>
        </w:r>
        <w:r w:rsidR="00B100D9" w:rsidRPr="0031554E">
          <w:fldChar w:fldCharType="separate"/>
        </w:r>
        <w:r w:rsidR="0988510F" w:rsidRPr="0031554E">
          <w:rPr>
            <w:rStyle w:val="Hyperlink"/>
          </w:rPr>
          <w:t>10</w:t>
        </w:r>
        <w:r w:rsidR="00B100D9" w:rsidRPr="0031554E">
          <w:fldChar w:fldCharType="end"/>
        </w:r>
      </w:hyperlink>
    </w:p>
    <w:p w14:paraId="1B95630A"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720493261">
        <w:r w:rsidR="0988510F" w:rsidRPr="0031554E">
          <w:rPr>
            <w:rStyle w:val="Hyperlink"/>
          </w:rPr>
          <w:t>Staff networks</w:t>
        </w:r>
        <w:r w:rsidR="00B100D9" w:rsidRPr="0031554E">
          <w:tab/>
        </w:r>
        <w:r w:rsidR="00B100D9" w:rsidRPr="0031554E">
          <w:fldChar w:fldCharType="begin"/>
        </w:r>
        <w:r w:rsidR="00B100D9" w:rsidRPr="0031554E">
          <w:instrText>PAGEREF _Toc720493261 \h</w:instrText>
        </w:r>
        <w:r w:rsidR="00B100D9" w:rsidRPr="0031554E">
          <w:fldChar w:fldCharType="separate"/>
        </w:r>
        <w:r w:rsidR="0988510F" w:rsidRPr="0031554E">
          <w:rPr>
            <w:rStyle w:val="Hyperlink"/>
          </w:rPr>
          <w:t>10</w:t>
        </w:r>
        <w:r w:rsidR="00B100D9" w:rsidRPr="0031554E">
          <w:fldChar w:fldCharType="end"/>
        </w:r>
      </w:hyperlink>
    </w:p>
    <w:p w14:paraId="4D0529A9"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1574586492">
        <w:r w:rsidR="0988510F" w:rsidRPr="0031554E">
          <w:rPr>
            <w:rStyle w:val="Hyperlink"/>
          </w:rPr>
          <w:t>Equality, Diversity &amp; Inclusion (ED&amp;I) Resourcing Action Plan</w:t>
        </w:r>
        <w:r w:rsidR="00B100D9" w:rsidRPr="0031554E">
          <w:tab/>
        </w:r>
        <w:r w:rsidR="00B100D9" w:rsidRPr="0031554E">
          <w:fldChar w:fldCharType="begin"/>
        </w:r>
        <w:r w:rsidR="00B100D9" w:rsidRPr="0031554E">
          <w:instrText>PAGEREF _Toc1574586492 \h</w:instrText>
        </w:r>
        <w:r w:rsidR="00B100D9" w:rsidRPr="0031554E">
          <w:fldChar w:fldCharType="separate"/>
        </w:r>
        <w:r w:rsidR="0988510F" w:rsidRPr="0031554E">
          <w:rPr>
            <w:rStyle w:val="Hyperlink"/>
          </w:rPr>
          <w:t>11</w:t>
        </w:r>
        <w:r w:rsidR="00B100D9" w:rsidRPr="0031554E">
          <w:fldChar w:fldCharType="end"/>
        </w:r>
      </w:hyperlink>
    </w:p>
    <w:p w14:paraId="5A1C069E" w14:textId="77777777" w:rsidR="00BF4DFE" w:rsidRPr="0031554E" w:rsidRDefault="0031554E" w:rsidP="0988510F">
      <w:pPr>
        <w:pStyle w:val="TOC3"/>
        <w:tabs>
          <w:tab w:val="clear" w:pos="9016"/>
          <w:tab w:val="right" w:leader="dot" w:pos="9015"/>
        </w:tabs>
        <w:rPr>
          <w:rFonts w:eastAsia="Arial"/>
          <w:sz w:val="24"/>
          <w:szCs w:val="24"/>
          <w:lang w:eastAsia="en-GB"/>
        </w:rPr>
      </w:pPr>
      <w:hyperlink w:anchor="_Toc1222518162">
        <w:r w:rsidR="0988510F" w:rsidRPr="0031554E">
          <w:rPr>
            <w:rStyle w:val="Hyperlink"/>
          </w:rPr>
          <w:t>Reviewing our Equality, Diversity &amp; Inclusion Strategy and equality objectives</w:t>
        </w:r>
        <w:r w:rsidR="00B100D9" w:rsidRPr="0031554E">
          <w:tab/>
        </w:r>
        <w:r w:rsidR="00B100D9" w:rsidRPr="0031554E">
          <w:fldChar w:fldCharType="begin"/>
        </w:r>
        <w:r w:rsidR="00B100D9" w:rsidRPr="0031554E">
          <w:instrText>PAGEREF _Toc1222518162 \h</w:instrText>
        </w:r>
        <w:r w:rsidR="00B100D9" w:rsidRPr="0031554E">
          <w:fldChar w:fldCharType="separate"/>
        </w:r>
        <w:r w:rsidR="0988510F" w:rsidRPr="0031554E">
          <w:rPr>
            <w:rStyle w:val="Hyperlink"/>
          </w:rPr>
          <w:t>11</w:t>
        </w:r>
        <w:r w:rsidR="00B100D9" w:rsidRPr="0031554E">
          <w:fldChar w:fldCharType="end"/>
        </w:r>
      </w:hyperlink>
    </w:p>
    <w:p w14:paraId="0036CD85" w14:textId="77777777" w:rsidR="00BF4DFE" w:rsidRDefault="0031554E" w:rsidP="0988510F">
      <w:pPr>
        <w:pStyle w:val="TOC3"/>
        <w:tabs>
          <w:tab w:val="clear" w:pos="9016"/>
          <w:tab w:val="right" w:leader="dot" w:pos="9015"/>
        </w:tabs>
        <w:rPr>
          <w:rFonts w:eastAsia="Arial"/>
          <w:sz w:val="24"/>
          <w:szCs w:val="24"/>
          <w:lang w:eastAsia="en-GB"/>
        </w:rPr>
      </w:pPr>
      <w:hyperlink w:anchor="_Toc906643567">
        <w:r w:rsidR="0988510F" w:rsidRPr="0031554E">
          <w:rPr>
            <w:rStyle w:val="Hyperlink"/>
          </w:rPr>
          <w:t>Declaration</w:t>
        </w:r>
        <w:r w:rsidR="00B100D9" w:rsidRPr="0031554E">
          <w:tab/>
        </w:r>
        <w:r w:rsidR="00B100D9" w:rsidRPr="0031554E">
          <w:fldChar w:fldCharType="begin"/>
        </w:r>
        <w:r w:rsidR="00B100D9" w:rsidRPr="0031554E">
          <w:instrText>PAGEREF _Toc906643567 \h</w:instrText>
        </w:r>
        <w:r w:rsidR="00B100D9" w:rsidRPr="0031554E">
          <w:fldChar w:fldCharType="separate"/>
        </w:r>
        <w:r w:rsidR="0988510F" w:rsidRPr="0031554E">
          <w:rPr>
            <w:rStyle w:val="Hyperlink"/>
          </w:rPr>
          <w:t>11</w:t>
        </w:r>
        <w:r w:rsidR="00B100D9" w:rsidRPr="0031554E">
          <w:fldChar w:fldCharType="end"/>
        </w:r>
      </w:hyperlink>
      <w:r w:rsidR="00B100D9">
        <w:fldChar w:fldCharType="end"/>
      </w:r>
    </w:p>
    <w:p w14:paraId="2DC842C0" w14:textId="009FD71B" w:rsidR="00A6496C" w:rsidRPr="00DA0BDA" w:rsidRDefault="00A6496C" w:rsidP="226B8663">
      <w:pPr>
        <w:pStyle w:val="TOC3"/>
        <w:tabs>
          <w:tab w:val="clear" w:pos="9016"/>
          <w:tab w:val="right" w:leader="dot" w:pos="9015"/>
        </w:tabs>
        <w:rPr>
          <w:rFonts w:eastAsia="Arial"/>
          <w:sz w:val="24"/>
          <w:szCs w:val="24"/>
        </w:rPr>
      </w:pPr>
    </w:p>
    <w:p w14:paraId="560B74A0" w14:textId="1DB6F0E7" w:rsidR="00335CA0" w:rsidRPr="00DA0BDA" w:rsidRDefault="00335CA0">
      <w:pPr>
        <w:rPr>
          <w:rFonts w:ascii="Arial" w:hAnsi="Arial" w:cs="Arial"/>
        </w:rPr>
      </w:pPr>
      <w:r w:rsidRPr="00DA0BDA">
        <w:rPr>
          <w:rFonts w:ascii="Arial" w:hAnsi="Arial" w:cs="Arial"/>
        </w:rPr>
        <w:br w:type="page"/>
      </w:r>
    </w:p>
    <w:p w14:paraId="01B6EBAE" w14:textId="243DC8B3" w:rsidR="00335CA0" w:rsidRDefault="00335CA0" w:rsidP="009C307B">
      <w:pPr>
        <w:pStyle w:val="Heading2"/>
        <w:rPr>
          <w:rFonts w:ascii="Arial" w:hAnsi="Arial" w:cs="Arial"/>
        </w:rPr>
      </w:pPr>
      <w:bookmarkStart w:id="6" w:name="_Toc1914089034"/>
      <w:r w:rsidRPr="00DA0BDA">
        <w:rPr>
          <w:rFonts w:ascii="Arial" w:hAnsi="Arial" w:cs="Arial"/>
        </w:rPr>
        <w:lastRenderedPageBreak/>
        <w:t>Foreword</w:t>
      </w:r>
      <w:bookmarkEnd w:id="6"/>
    </w:p>
    <w:p w14:paraId="7714E725" w14:textId="77777777" w:rsidR="00BF4DFE" w:rsidRPr="00BF4DFE" w:rsidRDefault="00BF4DFE" w:rsidP="00BF4DFE"/>
    <w:p w14:paraId="355D50F3" w14:textId="18342D14" w:rsidR="00780337" w:rsidRPr="00DA0BDA" w:rsidRDefault="006B18EB">
      <w:pPr>
        <w:rPr>
          <w:rFonts w:ascii="Arial" w:hAnsi="Arial" w:cs="Arial"/>
        </w:rPr>
      </w:pPr>
      <w:r w:rsidRPr="00DA0BDA">
        <w:rPr>
          <w:rFonts w:ascii="Arial" w:hAnsi="Arial" w:cs="Arial"/>
        </w:rPr>
        <w:t>In order to be recognised as global leaders in weather and climate science and services we need to be able to recruit and retain excellent staff from all sections of society. Gender pay gap is one of our longest running measures for how we are progressing with this. One aspect of that is measuring the progression of women through what was a once heavily male</w:t>
      </w:r>
      <w:r w:rsidR="00780337" w:rsidRPr="00DA0BDA">
        <w:rPr>
          <w:rFonts w:ascii="Arial" w:hAnsi="Arial" w:cs="Arial"/>
        </w:rPr>
        <w:t xml:space="preserve"> </w:t>
      </w:r>
      <w:r w:rsidRPr="00DA0BDA">
        <w:rPr>
          <w:rFonts w:ascii="Arial" w:hAnsi="Arial" w:cs="Arial"/>
        </w:rPr>
        <w:t xml:space="preserve">dominated workforce. </w:t>
      </w:r>
    </w:p>
    <w:p w14:paraId="1B229B87" w14:textId="77777777" w:rsidR="006A0A40" w:rsidRPr="00DA0BDA" w:rsidRDefault="006B18EB">
      <w:pPr>
        <w:rPr>
          <w:rFonts w:ascii="Arial" w:hAnsi="Arial" w:cs="Arial"/>
        </w:rPr>
      </w:pPr>
      <w:r w:rsidRPr="00DA0BDA">
        <w:rPr>
          <w:rFonts w:ascii="Arial" w:hAnsi="Arial" w:cs="Arial"/>
        </w:rPr>
        <w:t xml:space="preserve">We have been proud that we have reduced our gender pay gap to a minimal level over the years and the percentage of women in our workforce has increased to 39%. Over the last year, 46% of new joiners were women, so there is every reason why we should expect to progress to being a fully representative organisation, notwithstanding the imbalance in the wider workforce for the mathematical and physical sciences, IT and engineering professions which make up much of our workforce. </w:t>
      </w:r>
    </w:p>
    <w:p w14:paraId="502B21C5" w14:textId="77777777" w:rsidR="003876A9" w:rsidRPr="00DA0BDA" w:rsidRDefault="006B18EB">
      <w:pPr>
        <w:rPr>
          <w:rFonts w:ascii="Arial" w:hAnsi="Arial" w:cs="Arial"/>
        </w:rPr>
      </w:pPr>
      <w:r w:rsidRPr="00DA0BDA">
        <w:rPr>
          <w:rFonts w:ascii="Arial" w:hAnsi="Arial" w:cs="Arial"/>
        </w:rPr>
        <w:t xml:space="preserve">That said we have taken a small backward step in the gender pay gap figures this year which is disappointing. The reasons for this clearly relate to allowances for deployments and a change in the makeup of employees taking them, and we need to check that there is nothing systemic underlying this, especially as we are taking a fresh look at all our on-call and shift allowances. We have continued to make progress with better representation of women in the upper pay quartiles, though scarce skills allowances are still likely to favour male-dominated professions, especially in technology areas. </w:t>
      </w:r>
    </w:p>
    <w:p w14:paraId="2DF9DAC1" w14:textId="77777777" w:rsidR="003876A9" w:rsidRPr="00DA0BDA" w:rsidRDefault="006B18EB">
      <w:pPr>
        <w:rPr>
          <w:rFonts w:ascii="Arial" w:hAnsi="Arial" w:cs="Arial"/>
        </w:rPr>
      </w:pPr>
      <w:r w:rsidRPr="00DA0BDA">
        <w:rPr>
          <w:rFonts w:ascii="Arial" w:hAnsi="Arial" w:cs="Arial"/>
        </w:rPr>
        <w:t xml:space="preserve">As indicated in the report, while we report on men and women employees as legally required, we are determined to make sure that we are acknowledging and monitoring the progress of our growing proportion of employees with other gender identities. </w:t>
      </w:r>
    </w:p>
    <w:p w14:paraId="7B136CEA" w14:textId="6549E3A5" w:rsidR="006B18EB" w:rsidRPr="00DA0BDA" w:rsidRDefault="006B18EB">
      <w:pPr>
        <w:rPr>
          <w:rFonts w:ascii="Arial" w:hAnsi="Arial" w:cs="Arial"/>
        </w:rPr>
      </w:pPr>
      <w:r w:rsidRPr="00DA0BDA">
        <w:rPr>
          <w:rFonts w:ascii="Arial" w:hAnsi="Arial" w:cs="Arial"/>
        </w:rPr>
        <w:t>Finally we have made great strides in ensuring that our schools outreach and early careers offerings are more diverse in all respects and I would particularly like to celebrate the success of our virtual work experience which has enabled us to reach hundreds of young people who would have been too distant to be able to attend in person, and a much more representative group than our previous local connections allowed</w:t>
      </w:r>
      <w:r w:rsidR="003876A9" w:rsidRPr="00DA0BDA">
        <w:rPr>
          <w:rFonts w:ascii="Arial" w:hAnsi="Arial" w:cs="Arial"/>
        </w:rPr>
        <w:t>.</w:t>
      </w:r>
    </w:p>
    <w:p w14:paraId="67414CA7" w14:textId="1E248BC9" w:rsidR="00335CA0" w:rsidRPr="00DA0BDA" w:rsidRDefault="00335CA0">
      <w:pPr>
        <w:rPr>
          <w:rFonts w:ascii="Arial" w:hAnsi="Arial" w:cs="Arial"/>
        </w:rPr>
      </w:pPr>
      <w:r w:rsidRPr="00DA0BDA">
        <w:rPr>
          <w:rFonts w:ascii="Arial" w:hAnsi="Arial" w:cs="Arial"/>
        </w:rPr>
        <w:t>Penny Endersby, Chief Executive</w:t>
      </w:r>
    </w:p>
    <w:p w14:paraId="68D8EADB" w14:textId="64B6B0D8" w:rsidR="00335CA0" w:rsidRPr="00DA0BDA" w:rsidRDefault="00335CA0">
      <w:pPr>
        <w:rPr>
          <w:rFonts w:ascii="Arial" w:hAnsi="Arial" w:cs="Arial"/>
        </w:rPr>
      </w:pPr>
      <w:r w:rsidRPr="00DA0BDA">
        <w:rPr>
          <w:rFonts w:ascii="Arial" w:hAnsi="Arial" w:cs="Arial"/>
        </w:rPr>
        <w:br w:type="page"/>
      </w:r>
    </w:p>
    <w:p w14:paraId="4FAB2DC7" w14:textId="2E4CD0E2" w:rsidR="00335CA0" w:rsidRPr="00DA0BDA" w:rsidRDefault="00335CA0" w:rsidP="009C307B">
      <w:pPr>
        <w:pStyle w:val="Heading2"/>
        <w:rPr>
          <w:rFonts w:ascii="Arial" w:hAnsi="Arial" w:cs="Arial"/>
        </w:rPr>
      </w:pPr>
      <w:bookmarkStart w:id="7" w:name="_Toc1329801276"/>
      <w:r w:rsidRPr="00DA0BDA">
        <w:rPr>
          <w:rFonts w:ascii="Arial" w:hAnsi="Arial" w:cs="Arial"/>
        </w:rPr>
        <w:lastRenderedPageBreak/>
        <w:t>Foreword</w:t>
      </w:r>
      <w:bookmarkEnd w:id="7"/>
      <w:r w:rsidRPr="00DA0BDA">
        <w:rPr>
          <w:rFonts w:ascii="Arial" w:hAnsi="Arial" w:cs="Arial"/>
        </w:rPr>
        <w:t xml:space="preserve"> </w:t>
      </w:r>
    </w:p>
    <w:p w14:paraId="783BBF74" w14:textId="77777777" w:rsidR="00F743CE" w:rsidRPr="00DA0BDA" w:rsidRDefault="00F743CE" w:rsidP="00F743CE">
      <w:pPr>
        <w:rPr>
          <w:rFonts w:ascii="Arial" w:hAnsi="Arial" w:cs="Arial"/>
        </w:rPr>
      </w:pPr>
    </w:p>
    <w:p w14:paraId="0BBE345C" w14:textId="77777777" w:rsidR="00B52CC3" w:rsidRPr="00DA0BDA" w:rsidRDefault="00B52CC3">
      <w:pPr>
        <w:rPr>
          <w:rFonts w:ascii="Arial" w:hAnsi="Arial" w:cs="Arial"/>
        </w:rPr>
      </w:pPr>
      <w:r w:rsidRPr="00DA0BDA">
        <w:rPr>
          <w:rFonts w:ascii="Arial" w:hAnsi="Arial" w:cs="Arial"/>
        </w:rPr>
        <w:t xml:space="preserve">The Met Office continue to lead and invest in our people and culture to make the Met Office a great place to work for all and we continue to be committed to taking action to making the Met Office more representative of the population we serve. Disappointingly for the first time since we started reporting in 2017 our gender pay gaps have marginally increased. </w:t>
      </w:r>
    </w:p>
    <w:p w14:paraId="51F4349B" w14:textId="77777777" w:rsidR="00B52CC3" w:rsidRPr="00DA0BDA" w:rsidRDefault="00B52CC3">
      <w:pPr>
        <w:rPr>
          <w:rFonts w:ascii="Arial" w:hAnsi="Arial" w:cs="Arial"/>
        </w:rPr>
      </w:pPr>
      <w:r w:rsidRPr="00DA0BDA">
        <w:rPr>
          <w:rFonts w:ascii="Arial" w:hAnsi="Arial" w:cs="Arial"/>
        </w:rPr>
        <w:t xml:space="preserve">The mean pay gap has increased to 5.90% in favour of men, this is an increase of 0.30% from 5.60% in 2022 and a median pay gap of 4.70% in favour of men, which is an increase of 0.6% from 4.1% in 2022. </w:t>
      </w:r>
    </w:p>
    <w:p w14:paraId="43D03E40" w14:textId="77777777" w:rsidR="00B52CC3" w:rsidRPr="00DA0BDA" w:rsidRDefault="00B52CC3">
      <w:pPr>
        <w:rPr>
          <w:rFonts w:ascii="Arial" w:hAnsi="Arial" w:cs="Arial"/>
        </w:rPr>
      </w:pPr>
      <w:r w:rsidRPr="00DA0BDA">
        <w:rPr>
          <w:rFonts w:ascii="Arial" w:hAnsi="Arial" w:cs="Arial"/>
        </w:rPr>
        <w:t xml:space="preserve">The proportion of women receiving an inyear bonus payment has exceeded bonus payments awarded to men, the percentage of women receiving bonus payments has risen to 96.6% with the proportion of bonus payments to men being unchanged at 96%. However, there is a mean bonus pay gap of 5.40% in favour of men, this is an increase of 2.90% from 2.50% in 2022 and a median pay gap of 1.30% in favour of men, which is an increase of 1.8% from -0.5% in 2022. </w:t>
      </w:r>
    </w:p>
    <w:p w14:paraId="039A922C" w14:textId="77777777" w:rsidR="00B52CC3" w:rsidRPr="00DA0BDA" w:rsidRDefault="00B52CC3">
      <w:pPr>
        <w:rPr>
          <w:rFonts w:ascii="Arial" w:hAnsi="Arial" w:cs="Arial"/>
        </w:rPr>
      </w:pPr>
      <w:r w:rsidRPr="00DA0BDA">
        <w:rPr>
          <w:rFonts w:ascii="Arial" w:hAnsi="Arial" w:cs="Arial"/>
        </w:rPr>
        <w:t xml:space="preserve">Small improvements this year can be seen in the higher proportion of women joining the organisation since last year up from 43% to 46% and the top quartile of women has increased from 31% to 32%. We continue to look at our recruitment and progression processes to remove barriers for women and take positive talent action during the year. </w:t>
      </w:r>
    </w:p>
    <w:p w14:paraId="1E0D6A72" w14:textId="26F0EC00" w:rsidR="00335CA0" w:rsidRPr="00DA0BDA" w:rsidRDefault="00B52CC3">
      <w:pPr>
        <w:rPr>
          <w:rFonts w:ascii="Arial" w:hAnsi="Arial" w:cs="Arial"/>
        </w:rPr>
      </w:pPr>
      <w:r w:rsidRPr="00DA0BDA">
        <w:rPr>
          <w:rFonts w:ascii="Arial" w:hAnsi="Arial" w:cs="Arial"/>
        </w:rPr>
        <w:t>We recognise any increase in gender gaps is not what we want to see however we understand better some of the nuances behind the data and will continue to strive through our targeted insight in our Great Place to Work Certification and action plan to take steps to continue to see a downward trend.</w:t>
      </w:r>
    </w:p>
    <w:p w14:paraId="768C1DB9" w14:textId="7B4D7270" w:rsidR="00335CA0" w:rsidRPr="00DA0BDA" w:rsidRDefault="00335CA0">
      <w:pPr>
        <w:rPr>
          <w:rFonts w:ascii="Arial" w:hAnsi="Arial" w:cs="Arial"/>
        </w:rPr>
      </w:pPr>
      <w:r w:rsidRPr="00DA0BDA">
        <w:rPr>
          <w:rFonts w:ascii="Arial" w:hAnsi="Arial" w:cs="Arial"/>
        </w:rPr>
        <w:t>Tammy Lillie, Chief People Officer</w:t>
      </w:r>
    </w:p>
    <w:p w14:paraId="6BE2A3FC" w14:textId="77777777" w:rsidR="00335CA0" w:rsidRPr="00DA0BDA" w:rsidRDefault="00335CA0">
      <w:pPr>
        <w:rPr>
          <w:rFonts w:ascii="Arial" w:hAnsi="Arial" w:cs="Arial"/>
        </w:rPr>
      </w:pPr>
    </w:p>
    <w:p w14:paraId="29F50827" w14:textId="38467A3D" w:rsidR="00335CA0" w:rsidRPr="00DA0BDA" w:rsidRDefault="00335CA0">
      <w:pPr>
        <w:rPr>
          <w:rFonts w:ascii="Arial" w:hAnsi="Arial" w:cs="Arial"/>
        </w:rPr>
      </w:pPr>
      <w:r w:rsidRPr="00DA0BDA">
        <w:rPr>
          <w:rFonts w:ascii="Arial" w:hAnsi="Arial" w:cs="Arial"/>
        </w:rPr>
        <w:br w:type="page"/>
      </w:r>
    </w:p>
    <w:p w14:paraId="02CC473D" w14:textId="4DDEA202" w:rsidR="00335CA0" w:rsidRDefault="00335CA0" w:rsidP="009C307B">
      <w:pPr>
        <w:pStyle w:val="Heading2"/>
        <w:rPr>
          <w:rFonts w:ascii="Arial" w:hAnsi="Arial" w:cs="Arial"/>
        </w:rPr>
      </w:pPr>
      <w:bookmarkStart w:id="8" w:name="_Toc1799266702"/>
      <w:r w:rsidRPr="00DA0BDA">
        <w:rPr>
          <w:rFonts w:ascii="Arial" w:hAnsi="Arial" w:cs="Arial"/>
        </w:rPr>
        <w:lastRenderedPageBreak/>
        <w:t>Our purpose</w:t>
      </w:r>
      <w:bookmarkEnd w:id="8"/>
    </w:p>
    <w:p w14:paraId="799D9C7E" w14:textId="77777777" w:rsidR="00BF4DFE" w:rsidRPr="00BF4DFE" w:rsidRDefault="00BF4DFE" w:rsidP="00BF4DFE"/>
    <w:p w14:paraId="56BD66BD" w14:textId="77777777" w:rsidR="005E514D" w:rsidRPr="00DA0BDA" w:rsidRDefault="005E514D" w:rsidP="001B5F84">
      <w:pPr>
        <w:rPr>
          <w:rFonts w:ascii="Arial" w:hAnsi="Arial" w:cs="Arial"/>
        </w:rPr>
      </w:pPr>
      <w:r w:rsidRPr="00DA0BDA">
        <w:rPr>
          <w:rFonts w:ascii="Arial" w:hAnsi="Arial" w:cs="Arial"/>
        </w:rPr>
        <w:t xml:space="preserve">The Met Office is here to help you make better decisions to stay safe and thrive. That means giving you the best weather and climate information when it matters to you most. Our focus is on making a difference and delivering greater benefit to you. </w:t>
      </w:r>
    </w:p>
    <w:p w14:paraId="64F8D26D" w14:textId="7ECD7EFA" w:rsidR="001B5F84" w:rsidRPr="00DA0BDA" w:rsidRDefault="005E514D" w:rsidP="001B5F84">
      <w:pPr>
        <w:rPr>
          <w:rFonts w:ascii="Arial" w:hAnsi="Arial" w:cs="Arial"/>
        </w:rPr>
      </w:pPr>
      <w:r w:rsidRPr="00DA0BDA">
        <w:rPr>
          <w:rFonts w:ascii="Arial" w:hAnsi="Arial" w:cs="Arial"/>
        </w:rPr>
        <w:t xml:space="preserve">We only make an impact when our trusted data, products, science, services and advice get into the hands of those who use it to shape their lives, and the lives of those around them, all built on our pioneering science and technology. We deliver our services through exceptional scientific, technological and operational expertise. Behind this is a team of excellent people, working with you to deliver extraordinary impact, making us one of the most trusted forecasters in the world. </w:t>
      </w:r>
    </w:p>
    <w:p w14:paraId="4011F072" w14:textId="77777777" w:rsidR="001B5F84" w:rsidRPr="00DA0BDA" w:rsidRDefault="005E514D" w:rsidP="001B5F84">
      <w:pPr>
        <w:rPr>
          <w:rFonts w:ascii="Arial" w:hAnsi="Arial" w:cs="Arial"/>
        </w:rPr>
      </w:pPr>
      <w:r w:rsidRPr="00DA0BDA">
        <w:rPr>
          <w:rFonts w:ascii="Arial" w:hAnsi="Arial" w:cs="Arial"/>
        </w:rPr>
        <w:t>Since our foundation in 1854, the Met Office has pioneered the science of meteorology and its application. To this day, we continue to push the boundaries of science and technology, so that we can meet the demands of today and the future. We are a key part of the weather and climate community, uniting scientific leaders from every corner of the globe, delivering extraordinary impact and benefit to the world around us.</w:t>
      </w:r>
    </w:p>
    <w:p w14:paraId="030EEE48" w14:textId="77777777" w:rsidR="001B5F84" w:rsidRPr="00DA0BDA" w:rsidRDefault="005E514D" w:rsidP="001B5F84">
      <w:pPr>
        <w:rPr>
          <w:rFonts w:ascii="Arial" w:hAnsi="Arial" w:cs="Arial"/>
        </w:rPr>
      </w:pPr>
      <w:r w:rsidRPr="00DA0BDA">
        <w:rPr>
          <w:rFonts w:ascii="Arial" w:hAnsi="Arial" w:cs="Arial"/>
        </w:rPr>
        <w:t xml:space="preserve"> Our strategy sets out three anchors and these are the main themes that allow us to deliver on our purpose: </w:t>
      </w:r>
    </w:p>
    <w:p w14:paraId="6BB35628" w14:textId="34C9F480" w:rsidR="001B5F84" w:rsidRPr="00BF4DFE" w:rsidRDefault="005E514D" w:rsidP="00BF4DFE">
      <w:pPr>
        <w:pStyle w:val="ListParagraph"/>
        <w:numPr>
          <w:ilvl w:val="0"/>
          <w:numId w:val="10"/>
        </w:numPr>
        <w:rPr>
          <w:rFonts w:ascii="Arial" w:hAnsi="Arial" w:cs="Arial"/>
        </w:rPr>
      </w:pPr>
      <w:r w:rsidRPr="00BF4DFE">
        <w:rPr>
          <w:rFonts w:ascii="Arial" w:hAnsi="Arial" w:cs="Arial"/>
        </w:rPr>
        <w:t xml:space="preserve">Excellent people and culture </w:t>
      </w:r>
    </w:p>
    <w:p w14:paraId="5F8932A6" w14:textId="2DE69C97" w:rsidR="001B5F84" w:rsidRPr="00BF4DFE" w:rsidRDefault="005E514D" w:rsidP="00BF4DFE">
      <w:pPr>
        <w:pStyle w:val="ListParagraph"/>
        <w:numPr>
          <w:ilvl w:val="0"/>
          <w:numId w:val="10"/>
        </w:numPr>
        <w:rPr>
          <w:rFonts w:ascii="Arial" w:hAnsi="Arial" w:cs="Arial"/>
        </w:rPr>
      </w:pPr>
      <w:r w:rsidRPr="00BF4DFE">
        <w:rPr>
          <w:rFonts w:ascii="Arial" w:hAnsi="Arial" w:cs="Arial"/>
        </w:rPr>
        <w:t xml:space="preserve">Exceptional science, technology, and operations </w:t>
      </w:r>
    </w:p>
    <w:p w14:paraId="7F439648" w14:textId="1924B9E4" w:rsidR="008117FC" w:rsidRPr="00BF4DFE" w:rsidRDefault="005E514D" w:rsidP="00BF4DFE">
      <w:pPr>
        <w:pStyle w:val="ListParagraph"/>
        <w:numPr>
          <w:ilvl w:val="0"/>
          <w:numId w:val="10"/>
        </w:numPr>
        <w:rPr>
          <w:rFonts w:ascii="Arial" w:hAnsi="Arial" w:cs="Arial"/>
        </w:rPr>
      </w:pPr>
      <w:r w:rsidRPr="00BF4DFE">
        <w:rPr>
          <w:rFonts w:ascii="Arial" w:hAnsi="Arial" w:cs="Arial"/>
        </w:rPr>
        <w:t xml:space="preserve">Extraordinary impact and benefit </w:t>
      </w:r>
    </w:p>
    <w:p w14:paraId="6EE2B147" w14:textId="77777777" w:rsidR="008117FC" w:rsidRPr="00DA0BDA" w:rsidRDefault="005E514D" w:rsidP="001B5F84">
      <w:pPr>
        <w:rPr>
          <w:rFonts w:ascii="Arial" w:hAnsi="Arial" w:cs="Arial"/>
        </w:rPr>
      </w:pPr>
      <w:r w:rsidRPr="00DA0BDA">
        <w:rPr>
          <w:rFonts w:ascii="Arial" w:hAnsi="Arial" w:cs="Arial"/>
        </w:rPr>
        <w:t xml:space="preserve">Our values are our guiding principles. They reflect who we are and what we stand for here at the Met Office. Our values underpin every decision we make and the way in which we get our work done each and every day. Our values are: </w:t>
      </w:r>
    </w:p>
    <w:p w14:paraId="6FD081F3" w14:textId="407A7BB4" w:rsidR="008117FC" w:rsidRPr="00BF4DFE" w:rsidRDefault="005E514D" w:rsidP="00BF4DFE">
      <w:pPr>
        <w:pStyle w:val="ListParagraph"/>
        <w:numPr>
          <w:ilvl w:val="0"/>
          <w:numId w:val="8"/>
        </w:numPr>
        <w:rPr>
          <w:rFonts w:ascii="Arial" w:hAnsi="Arial" w:cs="Arial"/>
        </w:rPr>
      </w:pPr>
      <w:r w:rsidRPr="00BF4DFE">
        <w:rPr>
          <w:rFonts w:ascii="Arial" w:hAnsi="Arial" w:cs="Arial"/>
        </w:rPr>
        <w:t>We’re experts by nature</w:t>
      </w:r>
      <w:r w:rsidR="00BF4DFE">
        <w:rPr>
          <w:rFonts w:ascii="Arial" w:hAnsi="Arial" w:cs="Arial"/>
        </w:rPr>
        <w:t>.</w:t>
      </w:r>
      <w:r w:rsidRPr="00BF4DFE">
        <w:rPr>
          <w:rFonts w:ascii="Arial" w:hAnsi="Arial" w:cs="Arial"/>
        </w:rPr>
        <w:t xml:space="preserve"> </w:t>
      </w:r>
    </w:p>
    <w:p w14:paraId="4BA628DD" w14:textId="35E884EE" w:rsidR="00BF4DFE" w:rsidRDefault="005E514D" w:rsidP="00BF4DFE">
      <w:pPr>
        <w:pStyle w:val="ListParagraph"/>
        <w:numPr>
          <w:ilvl w:val="0"/>
          <w:numId w:val="8"/>
        </w:numPr>
        <w:rPr>
          <w:rFonts w:ascii="Arial" w:hAnsi="Arial" w:cs="Arial"/>
        </w:rPr>
      </w:pPr>
      <w:r w:rsidRPr="00BF4DFE">
        <w:rPr>
          <w:rFonts w:ascii="Arial" w:hAnsi="Arial" w:cs="Arial"/>
        </w:rPr>
        <w:t>We keep evolving</w:t>
      </w:r>
      <w:r w:rsidR="00BF4DFE">
        <w:rPr>
          <w:rFonts w:ascii="Arial" w:hAnsi="Arial" w:cs="Arial"/>
        </w:rPr>
        <w:t>.</w:t>
      </w:r>
      <w:r w:rsidRPr="00BF4DFE">
        <w:rPr>
          <w:rFonts w:ascii="Arial" w:hAnsi="Arial" w:cs="Arial"/>
        </w:rPr>
        <w:t xml:space="preserve"> </w:t>
      </w:r>
    </w:p>
    <w:p w14:paraId="4B706377" w14:textId="24744044" w:rsidR="008117FC" w:rsidRPr="00BF4DFE" w:rsidRDefault="005E514D" w:rsidP="00BF4DFE">
      <w:pPr>
        <w:pStyle w:val="ListParagraph"/>
        <w:numPr>
          <w:ilvl w:val="0"/>
          <w:numId w:val="8"/>
        </w:numPr>
        <w:rPr>
          <w:rFonts w:ascii="Arial" w:hAnsi="Arial" w:cs="Arial"/>
        </w:rPr>
      </w:pPr>
      <w:r w:rsidRPr="00BF4DFE">
        <w:rPr>
          <w:rFonts w:ascii="Arial" w:hAnsi="Arial" w:cs="Arial"/>
        </w:rPr>
        <w:t>We live it and breathe it</w:t>
      </w:r>
      <w:r w:rsidR="00BF4DFE">
        <w:rPr>
          <w:rFonts w:ascii="Arial" w:hAnsi="Arial" w:cs="Arial"/>
        </w:rPr>
        <w:t>.</w:t>
      </w:r>
    </w:p>
    <w:p w14:paraId="1704D560" w14:textId="1AD2260E" w:rsidR="008117FC" w:rsidRPr="00BF4DFE" w:rsidRDefault="005E514D" w:rsidP="00BF4DFE">
      <w:pPr>
        <w:pStyle w:val="ListParagraph"/>
        <w:numPr>
          <w:ilvl w:val="0"/>
          <w:numId w:val="8"/>
        </w:numPr>
        <w:rPr>
          <w:rFonts w:ascii="Arial" w:hAnsi="Arial" w:cs="Arial"/>
        </w:rPr>
      </w:pPr>
      <w:r w:rsidRPr="00BF4DFE">
        <w:rPr>
          <w:rFonts w:ascii="Arial" w:hAnsi="Arial" w:cs="Arial"/>
        </w:rPr>
        <w:t>We’re better together</w:t>
      </w:r>
      <w:r w:rsidR="00BF4DFE">
        <w:rPr>
          <w:rFonts w:ascii="Arial" w:hAnsi="Arial" w:cs="Arial"/>
        </w:rPr>
        <w:t>.</w:t>
      </w:r>
      <w:r w:rsidRPr="00BF4DFE">
        <w:rPr>
          <w:rFonts w:ascii="Arial" w:hAnsi="Arial" w:cs="Arial"/>
        </w:rPr>
        <w:t xml:space="preserve"> </w:t>
      </w:r>
    </w:p>
    <w:p w14:paraId="0872672C" w14:textId="5281BC22" w:rsidR="008117FC" w:rsidRPr="00BF4DFE" w:rsidRDefault="005E514D" w:rsidP="00BF4DFE">
      <w:pPr>
        <w:pStyle w:val="ListParagraph"/>
        <w:numPr>
          <w:ilvl w:val="0"/>
          <w:numId w:val="8"/>
        </w:numPr>
        <w:rPr>
          <w:rFonts w:ascii="Arial" w:hAnsi="Arial" w:cs="Arial"/>
        </w:rPr>
      </w:pPr>
      <w:r w:rsidRPr="00BF4DFE">
        <w:rPr>
          <w:rFonts w:ascii="Arial" w:hAnsi="Arial" w:cs="Arial"/>
        </w:rPr>
        <w:t>We’re a force for good</w:t>
      </w:r>
      <w:r w:rsidR="00BF4DFE">
        <w:rPr>
          <w:rFonts w:ascii="Arial" w:hAnsi="Arial" w:cs="Arial"/>
        </w:rPr>
        <w:t>.</w:t>
      </w:r>
    </w:p>
    <w:p w14:paraId="400F33CE" w14:textId="77777777" w:rsidR="008117FC" w:rsidRPr="00DA0BDA" w:rsidRDefault="008117FC" w:rsidP="001B5F84">
      <w:pPr>
        <w:rPr>
          <w:rFonts w:ascii="Arial" w:hAnsi="Arial" w:cs="Arial"/>
        </w:rPr>
      </w:pPr>
    </w:p>
    <w:p w14:paraId="4BCC31F4" w14:textId="77777777" w:rsidR="009515EB" w:rsidRPr="00DA0BDA" w:rsidRDefault="009515EB">
      <w:pPr>
        <w:rPr>
          <w:rFonts w:ascii="Arial" w:eastAsiaTheme="majorEastAsia" w:hAnsi="Arial" w:cs="Arial"/>
          <w:color w:val="2F5496" w:themeColor="accent1" w:themeShade="BF"/>
          <w:sz w:val="26"/>
          <w:szCs w:val="26"/>
        </w:rPr>
      </w:pPr>
      <w:r w:rsidRPr="00DA0BDA">
        <w:rPr>
          <w:rFonts w:ascii="Arial" w:hAnsi="Arial" w:cs="Arial"/>
        </w:rPr>
        <w:br w:type="page"/>
      </w:r>
    </w:p>
    <w:p w14:paraId="280F04DC" w14:textId="5E67B65F" w:rsidR="00463B22" w:rsidRPr="00DA0BDA" w:rsidRDefault="00FF0DCD" w:rsidP="009515EB">
      <w:pPr>
        <w:pStyle w:val="Heading2"/>
        <w:rPr>
          <w:rFonts w:ascii="Arial" w:hAnsi="Arial" w:cs="Arial"/>
        </w:rPr>
      </w:pPr>
      <w:bookmarkStart w:id="9" w:name="_Toc961972286"/>
      <w:r w:rsidRPr="00DA0BDA">
        <w:rPr>
          <w:rFonts w:ascii="Arial" w:hAnsi="Arial" w:cs="Arial"/>
        </w:rPr>
        <w:lastRenderedPageBreak/>
        <w:t xml:space="preserve">Overview on </w:t>
      </w:r>
      <w:r w:rsidR="00463B22" w:rsidRPr="00DA0BDA">
        <w:rPr>
          <w:rFonts w:ascii="Arial" w:hAnsi="Arial" w:cs="Arial"/>
        </w:rPr>
        <w:t>Gender Pay Gap reporting</w:t>
      </w:r>
      <w:bookmarkEnd w:id="9"/>
    </w:p>
    <w:p w14:paraId="36CBF0C2" w14:textId="77777777" w:rsidR="00D31959" w:rsidRPr="00DA0BDA" w:rsidRDefault="00D31959" w:rsidP="009515EB">
      <w:pPr>
        <w:pStyle w:val="Heading2"/>
        <w:rPr>
          <w:rFonts w:ascii="Arial" w:hAnsi="Arial" w:cs="Arial"/>
        </w:rPr>
      </w:pPr>
    </w:p>
    <w:p w14:paraId="620354ED" w14:textId="77777777" w:rsidR="009515EB" w:rsidRPr="00DA0BDA" w:rsidRDefault="009515EB">
      <w:pPr>
        <w:rPr>
          <w:rFonts w:ascii="Arial" w:hAnsi="Arial" w:cs="Arial"/>
        </w:rPr>
      </w:pPr>
      <w:r w:rsidRPr="00DA0BDA">
        <w:rPr>
          <w:rFonts w:ascii="Arial" w:hAnsi="Arial" w:cs="Arial"/>
        </w:rPr>
        <w:t xml:space="preserve">In 2017, the Government introduced legislation that makes it statutory for organisations with 250 or more employees to report annually on their gender pay gap. Government departments are covered by the Equality Act 2010 (Specific Duties and Public Authorities) Regulations 2017. </w:t>
      </w:r>
    </w:p>
    <w:p w14:paraId="3EE9A918" w14:textId="77777777" w:rsidR="009515EB" w:rsidRPr="00DA0BDA" w:rsidRDefault="009515EB">
      <w:pPr>
        <w:rPr>
          <w:rFonts w:ascii="Arial" w:hAnsi="Arial" w:cs="Arial"/>
        </w:rPr>
      </w:pPr>
      <w:r w:rsidRPr="00DA0BDA">
        <w:rPr>
          <w:rFonts w:ascii="Arial" w:hAnsi="Arial" w:cs="Arial"/>
        </w:rPr>
        <w:t xml:space="preserve">These regulations underpin the Public Sector Equality Duty and require the relevant organisations to publish their gender pay data by 30 March the following year, including the: </w:t>
      </w:r>
    </w:p>
    <w:p w14:paraId="5D625038" w14:textId="0509DBDB" w:rsidR="009515EB" w:rsidRPr="00BF4DFE" w:rsidRDefault="009515EB" w:rsidP="00BF4DFE">
      <w:pPr>
        <w:pStyle w:val="ListParagraph"/>
        <w:numPr>
          <w:ilvl w:val="0"/>
          <w:numId w:val="8"/>
        </w:numPr>
        <w:rPr>
          <w:rFonts w:ascii="Arial" w:hAnsi="Arial" w:cs="Arial"/>
        </w:rPr>
      </w:pPr>
      <w:r w:rsidRPr="00BF4DFE">
        <w:rPr>
          <w:rFonts w:ascii="Arial" w:hAnsi="Arial" w:cs="Arial"/>
        </w:rPr>
        <w:t xml:space="preserve">mean and median gender pay gaps in hourly pay; </w:t>
      </w:r>
    </w:p>
    <w:p w14:paraId="2FD5D788" w14:textId="0283A547" w:rsidR="009515EB" w:rsidRPr="00BF4DFE" w:rsidRDefault="009515EB" w:rsidP="00BF4DFE">
      <w:pPr>
        <w:pStyle w:val="ListParagraph"/>
        <w:numPr>
          <w:ilvl w:val="0"/>
          <w:numId w:val="8"/>
        </w:numPr>
        <w:rPr>
          <w:rFonts w:ascii="Arial" w:hAnsi="Arial" w:cs="Arial"/>
        </w:rPr>
      </w:pPr>
      <w:r w:rsidRPr="00BF4DFE">
        <w:rPr>
          <w:rFonts w:ascii="Arial" w:hAnsi="Arial" w:cs="Arial"/>
        </w:rPr>
        <w:t xml:space="preserve">mean and median gender pay gaps in bonus pay; </w:t>
      </w:r>
    </w:p>
    <w:p w14:paraId="3C54E304" w14:textId="1E218382" w:rsidR="009515EB" w:rsidRPr="00BF4DFE" w:rsidRDefault="009515EB" w:rsidP="00BF4DFE">
      <w:pPr>
        <w:pStyle w:val="ListParagraph"/>
        <w:numPr>
          <w:ilvl w:val="0"/>
          <w:numId w:val="8"/>
        </w:numPr>
        <w:rPr>
          <w:rFonts w:ascii="Arial" w:hAnsi="Arial" w:cs="Arial"/>
        </w:rPr>
      </w:pPr>
      <w:r w:rsidRPr="00BF4DFE">
        <w:rPr>
          <w:rFonts w:ascii="Arial" w:hAnsi="Arial" w:cs="Arial"/>
        </w:rPr>
        <w:t xml:space="preserve">proportion of men and women who received bonus payments, and; </w:t>
      </w:r>
    </w:p>
    <w:p w14:paraId="55752EFA" w14:textId="5FEADC2B" w:rsidR="009515EB" w:rsidRPr="00BF4DFE" w:rsidRDefault="009515EB" w:rsidP="00BF4DFE">
      <w:pPr>
        <w:pStyle w:val="ListParagraph"/>
        <w:numPr>
          <w:ilvl w:val="0"/>
          <w:numId w:val="8"/>
        </w:numPr>
        <w:rPr>
          <w:rFonts w:ascii="Arial" w:hAnsi="Arial" w:cs="Arial"/>
        </w:rPr>
      </w:pPr>
      <w:r w:rsidRPr="00BF4DFE">
        <w:rPr>
          <w:rFonts w:ascii="Arial" w:hAnsi="Arial" w:cs="Arial"/>
        </w:rPr>
        <w:t xml:space="preserve">proportion of men and women employees in each pay quartile. </w:t>
      </w:r>
    </w:p>
    <w:p w14:paraId="646F1A1B" w14:textId="77777777" w:rsidR="009515EB" w:rsidRPr="00DA0BDA" w:rsidRDefault="009515EB">
      <w:pPr>
        <w:rPr>
          <w:rFonts w:ascii="Arial" w:hAnsi="Arial" w:cs="Arial"/>
        </w:rPr>
      </w:pPr>
      <w:r w:rsidRPr="00DA0BDA">
        <w:rPr>
          <w:rFonts w:ascii="Arial" w:hAnsi="Arial" w:cs="Arial"/>
        </w:rPr>
        <w:t xml:space="preserve">This report provides our gender pay gap, using the Government Equalities Office methodology, on the snapshot date of 31 March 2023. For bonuses, we used the period of 1 April 2022 to 31 March 2023, which was the twelve months preceding the snapshot date. </w:t>
      </w:r>
    </w:p>
    <w:p w14:paraId="3B2CDC09" w14:textId="77777777" w:rsidR="009515EB" w:rsidRPr="00DA0BDA" w:rsidRDefault="009515EB">
      <w:pPr>
        <w:rPr>
          <w:rFonts w:ascii="Arial" w:hAnsi="Arial" w:cs="Arial"/>
        </w:rPr>
      </w:pPr>
      <w:r w:rsidRPr="00DA0BDA">
        <w:rPr>
          <w:rFonts w:ascii="Arial" w:hAnsi="Arial" w:cs="Arial"/>
        </w:rPr>
        <w:t xml:space="preserve">It is also worth noting that that this report focuses on data as of 31 March 2023. As such there will be lag between initiatives we are currently focusing on and their effect on the data. </w:t>
      </w:r>
    </w:p>
    <w:p w14:paraId="42F4AC68" w14:textId="77777777" w:rsidR="009515EB" w:rsidRPr="00DA0BDA" w:rsidRDefault="009515EB" w:rsidP="009515EB">
      <w:pPr>
        <w:pStyle w:val="Heading3"/>
        <w:rPr>
          <w:rFonts w:ascii="Arial" w:hAnsi="Arial" w:cs="Arial"/>
        </w:rPr>
      </w:pPr>
      <w:bookmarkStart w:id="10" w:name="_Toc610848969"/>
      <w:r w:rsidRPr="00DA0BDA">
        <w:rPr>
          <w:rFonts w:ascii="Arial" w:hAnsi="Arial" w:cs="Arial"/>
        </w:rPr>
        <w:t>Gender Pay versus Equal Pay</w:t>
      </w:r>
      <w:bookmarkEnd w:id="10"/>
      <w:r w:rsidRPr="00DA0BDA">
        <w:rPr>
          <w:rFonts w:ascii="Arial" w:hAnsi="Arial" w:cs="Arial"/>
        </w:rPr>
        <w:t xml:space="preserve"> </w:t>
      </w:r>
    </w:p>
    <w:p w14:paraId="323436AD" w14:textId="77777777" w:rsidR="009515EB" w:rsidRPr="00E6014B" w:rsidRDefault="009515EB">
      <w:pPr>
        <w:rPr>
          <w:rFonts w:ascii="Arial" w:hAnsi="Arial" w:cs="Arial"/>
        </w:rPr>
      </w:pPr>
      <w:r w:rsidRPr="00DA0BDA">
        <w:rPr>
          <w:rFonts w:ascii="Arial" w:hAnsi="Arial" w:cs="Arial"/>
        </w:rPr>
        <w:t xml:space="preserve">Gender pay is different to equal pay. Equal pay compares the pay of two people who hold the same or similar jobs within an organisation, or who carry out work of an equal value. Gender pay shows the difference in average pay between men and women within an </w:t>
      </w:r>
      <w:r w:rsidRPr="00E6014B">
        <w:rPr>
          <w:rFonts w:ascii="Arial" w:hAnsi="Arial" w:cs="Arial"/>
        </w:rPr>
        <w:t xml:space="preserve">organisation. </w:t>
      </w:r>
    </w:p>
    <w:p w14:paraId="0A06738B" w14:textId="4BA95E78" w:rsidR="00791067" w:rsidRPr="00E6014B" w:rsidRDefault="00791067">
      <w:pPr>
        <w:rPr>
          <w:rFonts w:ascii="Arial" w:hAnsi="Arial" w:cs="Arial"/>
        </w:rPr>
      </w:pPr>
      <w:r w:rsidRPr="00E6014B">
        <w:rPr>
          <w:rFonts w:ascii="Arial" w:hAnsi="Arial" w:cs="Arial"/>
        </w:rPr>
        <w:t>It is unlawful to pay people unequally because they are a man or a woman.</w:t>
      </w:r>
    </w:p>
    <w:p w14:paraId="76DFEF40" w14:textId="77777777" w:rsidR="009515EB" w:rsidRPr="00DA0BDA" w:rsidRDefault="009515EB" w:rsidP="009515EB">
      <w:pPr>
        <w:pStyle w:val="Heading3"/>
        <w:rPr>
          <w:rFonts w:ascii="Arial" w:hAnsi="Arial" w:cs="Arial"/>
        </w:rPr>
      </w:pPr>
      <w:bookmarkStart w:id="11" w:name="_Toc1324080796"/>
      <w:r w:rsidRPr="00DA0BDA">
        <w:rPr>
          <w:rFonts w:ascii="Arial" w:hAnsi="Arial" w:cs="Arial"/>
        </w:rPr>
        <w:t>Note on gender reporting</w:t>
      </w:r>
      <w:bookmarkEnd w:id="11"/>
    </w:p>
    <w:p w14:paraId="44213E26" w14:textId="77777777" w:rsidR="009515EB" w:rsidRPr="00DA0BDA" w:rsidRDefault="009515EB">
      <w:pPr>
        <w:rPr>
          <w:rFonts w:ascii="Arial" w:hAnsi="Arial" w:cs="Arial"/>
        </w:rPr>
      </w:pPr>
      <w:r w:rsidRPr="00DA0BDA">
        <w:rPr>
          <w:rFonts w:ascii="Arial" w:hAnsi="Arial" w:cs="Arial"/>
        </w:rPr>
        <w:t xml:space="preserve">In alignment with current requirements for gender pay gap reporting, gender must be reported in a binary way, recognising only men and women. This means the gap does not take into account non-binary or other identities. </w:t>
      </w:r>
    </w:p>
    <w:p w14:paraId="2A51F7E7" w14:textId="4A5A21D4" w:rsidR="00882D9D" w:rsidRPr="00DA0BDA" w:rsidRDefault="009515EB">
      <w:pPr>
        <w:rPr>
          <w:rFonts w:ascii="Arial" w:hAnsi="Arial" w:cs="Arial"/>
        </w:rPr>
      </w:pPr>
      <w:r w:rsidRPr="00DA0BDA">
        <w:rPr>
          <w:rFonts w:ascii="Arial" w:hAnsi="Arial" w:cs="Arial"/>
        </w:rPr>
        <w:t>The data used for the calculation comes from His Majesty’s Revenue and Customs (HMRC) records, which we acknowledge won’t have an accurate record of gender for many trans and non-binary employees.</w:t>
      </w:r>
    </w:p>
    <w:p w14:paraId="6DA96793" w14:textId="04A8D28D" w:rsidR="00D96347" w:rsidRPr="00DA0BDA" w:rsidRDefault="001A2BF0">
      <w:pPr>
        <w:rPr>
          <w:rFonts w:ascii="Arial" w:eastAsiaTheme="majorEastAsia" w:hAnsi="Arial" w:cs="Arial"/>
          <w:color w:val="2F5496" w:themeColor="accent1" w:themeShade="BF"/>
          <w:sz w:val="26"/>
          <w:szCs w:val="26"/>
        </w:rPr>
      </w:pPr>
      <w:r w:rsidRPr="00DA0BDA">
        <w:rPr>
          <w:rFonts w:ascii="Arial" w:hAnsi="Arial" w:cs="Arial"/>
        </w:rPr>
        <w:t>At the Met Office we are continuing to work towards creating an inclusive working environment for all, this includes employees having the opportunity to share their gender identity through our employee diversity monitoring data. We also encourage employees to share their pronouns in their email signature and on Microsoft Teams profiles. We are working with our LGBTQ+ Employee network to develop trans and non-binary guidance.</w:t>
      </w:r>
      <w:r w:rsidR="00D96347" w:rsidRPr="00DA0BDA">
        <w:rPr>
          <w:rFonts w:ascii="Arial" w:hAnsi="Arial" w:cs="Arial"/>
        </w:rPr>
        <w:br w:type="page"/>
      </w:r>
    </w:p>
    <w:p w14:paraId="309F1E5A" w14:textId="2F455680" w:rsidR="004537CA" w:rsidRPr="00CF330F" w:rsidRDefault="004537CA" w:rsidP="00CF330F">
      <w:pPr>
        <w:pStyle w:val="Heading2"/>
        <w:rPr>
          <w:rFonts w:ascii="Arial" w:hAnsi="Arial" w:cs="Arial"/>
        </w:rPr>
      </w:pPr>
      <w:bookmarkStart w:id="12" w:name="_Toc1366699849"/>
      <w:r w:rsidRPr="00CF330F">
        <w:rPr>
          <w:rFonts w:ascii="Arial" w:hAnsi="Arial" w:cs="Arial"/>
        </w:rPr>
        <w:lastRenderedPageBreak/>
        <w:t>Key facts</w:t>
      </w:r>
      <w:bookmarkEnd w:id="12"/>
    </w:p>
    <w:p w14:paraId="67BC6687" w14:textId="77777777" w:rsidR="004537CA" w:rsidRPr="00DA0BDA" w:rsidRDefault="004537CA" w:rsidP="004537CA">
      <w:pPr>
        <w:rPr>
          <w:rFonts w:ascii="Arial" w:hAnsi="Arial" w:cs="Arial"/>
        </w:rPr>
      </w:pPr>
    </w:p>
    <w:p w14:paraId="41B63756" w14:textId="27895ED0" w:rsidR="004537CA" w:rsidRPr="00DA0BDA" w:rsidRDefault="004537CA" w:rsidP="004537CA">
      <w:pPr>
        <w:rPr>
          <w:rFonts w:ascii="Arial" w:hAnsi="Arial" w:cs="Arial"/>
        </w:rPr>
      </w:pPr>
      <w:r w:rsidRPr="00DA0BDA">
        <w:rPr>
          <w:rFonts w:ascii="Arial" w:hAnsi="Arial" w:cs="Arial"/>
        </w:rPr>
        <w:t>Met Office Employees at the snapshot date (31 March 2023)</w:t>
      </w:r>
    </w:p>
    <w:tbl>
      <w:tblPr>
        <w:tblStyle w:val="TableGrid"/>
        <w:tblW w:w="0" w:type="auto"/>
        <w:tblLook w:val="04A0" w:firstRow="1" w:lastRow="0" w:firstColumn="1" w:lastColumn="0" w:noHBand="0" w:noVBand="1"/>
      </w:tblPr>
      <w:tblGrid>
        <w:gridCol w:w="4508"/>
        <w:gridCol w:w="4508"/>
      </w:tblGrid>
      <w:tr w:rsidR="004537CA" w:rsidRPr="00DA0BDA" w14:paraId="46A4015F" w14:textId="77777777" w:rsidTr="226FEDAA">
        <w:tc>
          <w:tcPr>
            <w:tcW w:w="4508" w:type="dxa"/>
          </w:tcPr>
          <w:p w14:paraId="0675C679" w14:textId="77777777" w:rsidR="004537CA" w:rsidRPr="00DA0BDA" w:rsidRDefault="004537CA">
            <w:pPr>
              <w:rPr>
                <w:rFonts w:ascii="Arial" w:hAnsi="Arial" w:cs="Arial"/>
                <w:b/>
                <w:bCs/>
              </w:rPr>
            </w:pPr>
            <w:r w:rsidRPr="00DA0BDA">
              <w:rPr>
                <w:rFonts w:ascii="Arial" w:hAnsi="Arial" w:cs="Arial"/>
                <w:b/>
                <w:bCs/>
              </w:rPr>
              <w:t>Employees</w:t>
            </w:r>
          </w:p>
        </w:tc>
        <w:tc>
          <w:tcPr>
            <w:tcW w:w="4508" w:type="dxa"/>
          </w:tcPr>
          <w:p w14:paraId="6F4BB678" w14:textId="77777777" w:rsidR="004537CA" w:rsidRPr="00DA0BDA" w:rsidRDefault="004537CA">
            <w:pPr>
              <w:rPr>
                <w:rFonts w:ascii="Arial" w:hAnsi="Arial" w:cs="Arial"/>
                <w:b/>
                <w:bCs/>
              </w:rPr>
            </w:pPr>
            <w:r w:rsidRPr="00DA0BDA">
              <w:rPr>
                <w:rFonts w:ascii="Arial" w:hAnsi="Arial" w:cs="Arial"/>
                <w:b/>
                <w:bCs/>
              </w:rPr>
              <w:t>Total</w:t>
            </w:r>
          </w:p>
        </w:tc>
      </w:tr>
      <w:tr w:rsidR="004537CA" w:rsidRPr="00DA0BDA" w14:paraId="79C5645F" w14:textId="77777777" w:rsidTr="226FEDAA">
        <w:tc>
          <w:tcPr>
            <w:tcW w:w="4508" w:type="dxa"/>
          </w:tcPr>
          <w:p w14:paraId="1CD56305" w14:textId="77777777" w:rsidR="004537CA" w:rsidRPr="00DA0BDA" w:rsidRDefault="004537CA">
            <w:pPr>
              <w:rPr>
                <w:rFonts w:ascii="Arial" w:hAnsi="Arial" w:cs="Arial"/>
              </w:rPr>
            </w:pPr>
            <w:r w:rsidRPr="00DA0BDA">
              <w:rPr>
                <w:rFonts w:ascii="Arial" w:hAnsi="Arial" w:cs="Arial"/>
              </w:rPr>
              <w:t>All employees</w:t>
            </w:r>
          </w:p>
        </w:tc>
        <w:tc>
          <w:tcPr>
            <w:tcW w:w="4508" w:type="dxa"/>
          </w:tcPr>
          <w:p w14:paraId="4144718F" w14:textId="77777777" w:rsidR="004537CA" w:rsidRPr="00DA0BDA" w:rsidRDefault="004537CA">
            <w:pPr>
              <w:rPr>
                <w:rFonts w:ascii="Arial" w:hAnsi="Arial" w:cs="Arial"/>
              </w:rPr>
            </w:pPr>
            <w:r w:rsidRPr="00DA0BDA">
              <w:rPr>
                <w:rFonts w:ascii="Arial" w:hAnsi="Arial" w:cs="Arial"/>
              </w:rPr>
              <w:t>2262</w:t>
            </w:r>
          </w:p>
        </w:tc>
      </w:tr>
      <w:tr w:rsidR="004537CA" w:rsidRPr="00DA0BDA" w14:paraId="69CA9D76" w14:textId="77777777" w:rsidTr="226FEDAA">
        <w:tc>
          <w:tcPr>
            <w:tcW w:w="4508" w:type="dxa"/>
          </w:tcPr>
          <w:p w14:paraId="24A88028" w14:textId="77777777" w:rsidR="004537CA" w:rsidRPr="00DA0BDA" w:rsidRDefault="004537CA">
            <w:pPr>
              <w:rPr>
                <w:rFonts w:ascii="Arial" w:hAnsi="Arial" w:cs="Arial"/>
              </w:rPr>
            </w:pPr>
            <w:r w:rsidRPr="00DA0BDA">
              <w:rPr>
                <w:rFonts w:ascii="Arial" w:hAnsi="Arial" w:cs="Arial"/>
              </w:rPr>
              <w:t>% Women</w:t>
            </w:r>
          </w:p>
        </w:tc>
        <w:tc>
          <w:tcPr>
            <w:tcW w:w="4508" w:type="dxa"/>
          </w:tcPr>
          <w:p w14:paraId="6F494AE1" w14:textId="75083880" w:rsidR="004537CA" w:rsidRPr="00DA0BDA" w:rsidRDefault="61AB7D81">
            <w:pPr>
              <w:rPr>
                <w:rFonts w:ascii="Arial" w:hAnsi="Arial" w:cs="Arial"/>
              </w:rPr>
            </w:pPr>
            <w:r w:rsidRPr="00DA0BDA">
              <w:rPr>
                <w:rFonts w:ascii="Arial" w:hAnsi="Arial" w:cs="Arial"/>
              </w:rPr>
              <w:t>39.30%</w:t>
            </w:r>
            <w:r w:rsidR="004537CA" w:rsidRPr="00DA0BDA">
              <w:rPr>
                <w:rFonts w:ascii="Arial" w:hAnsi="Arial" w:cs="Arial"/>
              </w:rPr>
              <w:t xml:space="preserve">       (889)</w:t>
            </w:r>
          </w:p>
        </w:tc>
      </w:tr>
      <w:tr w:rsidR="004537CA" w:rsidRPr="00DA0BDA" w14:paraId="5499129E" w14:textId="77777777" w:rsidTr="226FEDAA">
        <w:tc>
          <w:tcPr>
            <w:tcW w:w="4508" w:type="dxa"/>
          </w:tcPr>
          <w:p w14:paraId="1D079E4C" w14:textId="77777777" w:rsidR="004537CA" w:rsidRPr="00DA0BDA" w:rsidRDefault="004537CA">
            <w:pPr>
              <w:rPr>
                <w:rFonts w:ascii="Arial" w:hAnsi="Arial" w:cs="Arial"/>
              </w:rPr>
            </w:pPr>
            <w:r w:rsidRPr="00DA0BDA">
              <w:rPr>
                <w:rFonts w:ascii="Arial" w:hAnsi="Arial" w:cs="Arial"/>
              </w:rPr>
              <w:t>% Men</w:t>
            </w:r>
          </w:p>
        </w:tc>
        <w:tc>
          <w:tcPr>
            <w:tcW w:w="4508" w:type="dxa"/>
          </w:tcPr>
          <w:p w14:paraId="485088B3" w14:textId="776BC0FE" w:rsidR="004537CA" w:rsidRPr="00DA0BDA" w:rsidRDefault="55BDB901">
            <w:pPr>
              <w:rPr>
                <w:rFonts w:ascii="Arial" w:hAnsi="Arial" w:cs="Arial"/>
              </w:rPr>
            </w:pPr>
            <w:r w:rsidRPr="00DA0BDA">
              <w:rPr>
                <w:rFonts w:ascii="Arial" w:hAnsi="Arial" w:cs="Arial"/>
              </w:rPr>
              <w:t>60.70%</w:t>
            </w:r>
            <w:r w:rsidR="004537CA" w:rsidRPr="00DA0BDA">
              <w:rPr>
                <w:rFonts w:ascii="Arial" w:hAnsi="Arial" w:cs="Arial"/>
              </w:rPr>
              <w:t xml:space="preserve">       (137</w:t>
            </w:r>
            <w:r w:rsidR="58A95AF1" w:rsidRPr="00DA0BDA">
              <w:rPr>
                <w:rFonts w:ascii="Arial" w:hAnsi="Arial" w:cs="Arial"/>
              </w:rPr>
              <w:t>3</w:t>
            </w:r>
            <w:r w:rsidR="004537CA" w:rsidRPr="00DA0BDA">
              <w:rPr>
                <w:rFonts w:ascii="Arial" w:hAnsi="Arial" w:cs="Arial"/>
              </w:rPr>
              <w:t>)</w:t>
            </w:r>
          </w:p>
        </w:tc>
      </w:tr>
    </w:tbl>
    <w:p w14:paraId="0F6C1E34" w14:textId="77777777" w:rsidR="004537CA" w:rsidRPr="00DA0BDA" w:rsidRDefault="004537CA" w:rsidP="004537CA">
      <w:pPr>
        <w:rPr>
          <w:rFonts w:ascii="Arial" w:hAnsi="Arial" w:cs="Arial"/>
          <w:b/>
          <w:bCs/>
        </w:rPr>
      </w:pPr>
    </w:p>
    <w:p w14:paraId="4D80ADDA" w14:textId="1F9EF8BC" w:rsidR="004537CA" w:rsidRPr="00DA0BDA" w:rsidRDefault="004537CA" w:rsidP="004537CA">
      <w:pPr>
        <w:rPr>
          <w:rFonts w:ascii="Arial" w:hAnsi="Arial" w:cs="Arial"/>
          <w:b/>
          <w:bCs/>
        </w:rPr>
      </w:pPr>
      <w:r w:rsidRPr="00DA0BDA">
        <w:rPr>
          <w:rFonts w:ascii="Arial" w:hAnsi="Arial" w:cs="Arial"/>
          <w:b/>
          <w:bCs/>
        </w:rPr>
        <w:t>Statutory measure</w:t>
      </w:r>
      <w:r w:rsidR="7FE974C0" w:rsidRPr="00DA0BDA">
        <w:rPr>
          <w:rFonts w:ascii="Arial" w:hAnsi="Arial" w:cs="Arial"/>
          <w:b/>
          <w:bCs/>
        </w:rPr>
        <w:t>s</w:t>
      </w:r>
    </w:p>
    <w:tbl>
      <w:tblPr>
        <w:tblStyle w:val="TableGrid"/>
        <w:tblW w:w="0" w:type="auto"/>
        <w:tblLook w:val="04A0" w:firstRow="1" w:lastRow="0" w:firstColumn="1" w:lastColumn="0" w:noHBand="0" w:noVBand="1"/>
      </w:tblPr>
      <w:tblGrid>
        <w:gridCol w:w="4508"/>
        <w:gridCol w:w="4508"/>
      </w:tblGrid>
      <w:tr w:rsidR="00C42F16" w:rsidRPr="00DA0BDA" w14:paraId="15FB9138" w14:textId="77777777" w:rsidTr="00C42F16">
        <w:tc>
          <w:tcPr>
            <w:tcW w:w="4508" w:type="dxa"/>
          </w:tcPr>
          <w:p w14:paraId="3BF055C1" w14:textId="4D38EBB0" w:rsidR="00C42F16" w:rsidRPr="00DA0BDA" w:rsidRDefault="00C42F16" w:rsidP="004537CA">
            <w:pPr>
              <w:rPr>
                <w:rFonts w:ascii="Arial" w:hAnsi="Arial" w:cs="Arial"/>
                <w:b/>
                <w:bCs/>
              </w:rPr>
            </w:pPr>
            <w:r w:rsidRPr="00DA0BDA">
              <w:rPr>
                <w:rFonts w:ascii="Arial" w:hAnsi="Arial" w:cs="Arial"/>
                <w:b/>
                <w:bCs/>
              </w:rPr>
              <w:t>Gender Pay and Bonus Gap</w:t>
            </w:r>
          </w:p>
        </w:tc>
        <w:tc>
          <w:tcPr>
            <w:tcW w:w="4508" w:type="dxa"/>
          </w:tcPr>
          <w:p w14:paraId="0E16A66E" w14:textId="27C3C55E" w:rsidR="00C42F16" w:rsidRPr="00DA0BDA" w:rsidRDefault="00C42F16" w:rsidP="004537CA">
            <w:pPr>
              <w:rPr>
                <w:rFonts w:ascii="Arial" w:hAnsi="Arial" w:cs="Arial"/>
                <w:b/>
                <w:bCs/>
              </w:rPr>
            </w:pPr>
            <w:r w:rsidRPr="00DA0BDA">
              <w:rPr>
                <w:rFonts w:ascii="Arial" w:hAnsi="Arial" w:cs="Arial"/>
                <w:b/>
                <w:bCs/>
              </w:rPr>
              <w:t>2023</w:t>
            </w:r>
          </w:p>
        </w:tc>
      </w:tr>
      <w:tr w:rsidR="00C42F16" w:rsidRPr="00DA0BDA" w14:paraId="4818E465" w14:textId="77777777" w:rsidTr="00C42F16">
        <w:tc>
          <w:tcPr>
            <w:tcW w:w="4508" w:type="dxa"/>
          </w:tcPr>
          <w:p w14:paraId="6EFEE137" w14:textId="2B6F88AA" w:rsidR="00C42F16" w:rsidRPr="00DA0BDA" w:rsidRDefault="00C42F16" w:rsidP="004537CA">
            <w:pPr>
              <w:rPr>
                <w:rFonts w:ascii="Arial" w:hAnsi="Arial" w:cs="Arial"/>
              </w:rPr>
            </w:pPr>
            <w:r w:rsidRPr="00DA0BDA">
              <w:rPr>
                <w:rFonts w:ascii="Arial" w:hAnsi="Arial" w:cs="Arial"/>
              </w:rPr>
              <w:t>Mean Pay Gap</w:t>
            </w:r>
          </w:p>
        </w:tc>
        <w:tc>
          <w:tcPr>
            <w:tcW w:w="4508" w:type="dxa"/>
          </w:tcPr>
          <w:p w14:paraId="4312ECF2" w14:textId="55D8805E" w:rsidR="00C42F16" w:rsidRPr="00DA0BDA" w:rsidRDefault="00E606B9" w:rsidP="004537CA">
            <w:pPr>
              <w:rPr>
                <w:rFonts w:ascii="Arial" w:hAnsi="Arial" w:cs="Arial"/>
              </w:rPr>
            </w:pPr>
            <w:r w:rsidRPr="00DA0BDA">
              <w:rPr>
                <w:rFonts w:ascii="Arial" w:hAnsi="Arial" w:cs="Arial"/>
              </w:rPr>
              <w:t>5.90%</w:t>
            </w:r>
          </w:p>
        </w:tc>
      </w:tr>
      <w:tr w:rsidR="00C42F16" w:rsidRPr="00DA0BDA" w14:paraId="032FC13E" w14:textId="77777777" w:rsidTr="00C42F16">
        <w:tc>
          <w:tcPr>
            <w:tcW w:w="4508" w:type="dxa"/>
          </w:tcPr>
          <w:p w14:paraId="7DFEC06B" w14:textId="2FA14723" w:rsidR="00C42F16" w:rsidRPr="00DA0BDA" w:rsidRDefault="00C42F16" w:rsidP="004537CA">
            <w:pPr>
              <w:rPr>
                <w:rFonts w:ascii="Arial" w:hAnsi="Arial" w:cs="Arial"/>
              </w:rPr>
            </w:pPr>
            <w:r w:rsidRPr="00DA0BDA">
              <w:rPr>
                <w:rFonts w:ascii="Arial" w:hAnsi="Arial" w:cs="Arial"/>
              </w:rPr>
              <w:t>Median Pay Gap</w:t>
            </w:r>
          </w:p>
        </w:tc>
        <w:tc>
          <w:tcPr>
            <w:tcW w:w="4508" w:type="dxa"/>
          </w:tcPr>
          <w:p w14:paraId="3128BEE2" w14:textId="63D4D4DF" w:rsidR="00C42F16" w:rsidRPr="00DA0BDA" w:rsidRDefault="0068340C" w:rsidP="004537CA">
            <w:pPr>
              <w:rPr>
                <w:rFonts w:ascii="Arial" w:hAnsi="Arial" w:cs="Arial"/>
              </w:rPr>
            </w:pPr>
            <w:r w:rsidRPr="00DA0BDA">
              <w:rPr>
                <w:rFonts w:ascii="Arial" w:hAnsi="Arial" w:cs="Arial"/>
              </w:rPr>
              <w:t>4.70%</w:t>
            </w:r>
          </w:p>
        </w:tc>
      </w:tr>
      <w:tr w:rsidR="00C42F16" w:rsidRPr="00DA0BDA" w14:paraId="1D41193C" w14:textId="77777777" w:rsidTr="00C42F16">
        <w:tc>
          <w:tcPr>
            <w:tcW w:w="4508" w:type="dxa"/>
          </w:tcPr>
          <w:p w14:paraId="5A151288" w14:textId="4191E166" w:rsidR="00C42F16" w:rsidRPr="00DA0BDA" w:rsidRDefault="00C42F16" w:rsidP="004537CA">
            <w:pPr>
              <w:rPr>
                <w:rFonts w:ascii="Arial" w:hAnsi="Arial" w:cs="Arial"/>
              </w:rPr>
            </w:pPr>
            <w:r w:rsidRPr="00DA0BDA">
              <w:rPr>
                <w:rFonts w:ascii="Arial" w:hAnsi="Arial" w:cs="Arial"/>
              </w:rPr>
              <w:t>Mean Bonus Gap</w:t>
            </w:r>
          </w:p>
        </w:tc>
        <w:tc>
          <w:tcPr>
            <w:tcW w:w="4508" w:type="dxa"/>
          </w:tcPr>
          <w:p w14:paraId="7574CF49" w14:textId="2798C0F8" w:rsidR="00C42F16" w:rsidRPr="00DA0BDA" w:rsidRDefault="0068340C" w:rsidP="004537CA">
            <w:pPr>
              <w:rPr>
                <w:rFonts w:ascii="Arial" w:hAnsi="Arial" w:cs="Arial"/>
              </w:rPr>
            </w:pPr>
            <w:r w:rsidRPr="00DA0BDA">
              <w:rPr>
                <w:rFonts w:ascii="Arial" w:hAnsi="Arial" w:cs="Arial"/>
              </w:rPr>
              <w:t>5.40%</w:t>
            </w:r>
          </w:p>
        </w:tc>
      </w:tr>
      <w:tr w:rsidR="00C42F16" w:rsidRPr="00DA0BDA" w14:paraId="0A6103B8" w14:textId="77777777" w:rsidTr="00C42F16">
        <w:tc>
          <w:tcPr>
            <w:tcW w:w="4508" w:type="dxa"/>
          </w:tcPr>
          <w:p w14:paraId="6571D40F" w14:textId="52BA88EA" w:rsidR="00C42F16" w:rsidRPr="00DA0BDA" w:rsidRDefault="00C42F16" w:rsidP="004537CA">
            <w:pPr>
              <w:rPr>
                <w:rFonts w:ascii="Arial" w:hAnsi="Arial" w:cs="Arial"/>
              </w:rPr>
            </w:pPr>
            <w:r w:rsidRPr="00DA0BDA">
              <w:rPr>
                <w:rFonts w:ascii="Arial" w:hAnsi="Arial" w:cs="Arial"/>
              </w:rPr>
              <w:t>Median Bonus Gap</w:t>
            </w:r>
          </w:p>
        </w:tc>
        <w:tc>
          <w:tcPr>
            <w:tcW w:w="4508" w:type="dxa"/>
          </w:tcPr>
          <w:p w14:paraId="5AE1254E" w14:textId="10E2D11C" w:rsidR="00C42F16" w:rsidRPr="00DA0BDA" w:rsidRDefault="0068340C" w:rsidP="004537CA">
            <w:pPr>
              <w:rPr>
                <w:rFonts w:ascii="Arial" w:hAnsi="Arial" w:cs="Arial"/>
              </w:rPr>
            </w:pPr>
            <w:r w:rsidRPr="00DA0BDA">
              <w:rPr>
                <w:rFonts w:ascii="Arial" w:hAnsi="Arial" w:cs="Arial"/>
              </w:rPr>
              <w:t>1.30%</w:t>
            </w:r>
          </w:p>
        </w:tc>
      </w:tr>
    </w:tbl>
    <w:p w14:paraId="21F53C18" w14:textId="77777777" w:rsidR="004537CA" w:rsidRPr="00DA0BDA" w:rsidRDefault="004537CA" w:rsidP="004537CA">
      <w:pPr>
        <w:rPr>
          <w:rFonts w:ascii="Arial" w:hAnsi="Arial" w:cs="Arial"/>
        </w:rPr>
      </w:pPr>
    </w:p>
    <w:tbl>
      <w:tblPr>
        <w:tblStyle w:val="TableGrid"/>
        <w:tblW w:w="0" w:type="auto"/>
        <w:tblLook w:val="04A0" w:firstRow="1" w:lastRow="0" w:firstColumn="1" w:lastColumn="0" w:noHBand="0" w:noVBand="1"/>
      </w:tblPr>
      <w:tblGrid>
        <w:gridCol w:w="4508"/>
        <w:gridCol w:w="4508"/>
      </w:tblGrid>
      <w:tr w:rsidR="0001456C" w:rsidRPr="00DA0BDA" w14:paraId="5E450442" w14:textId="77777777" w:rsidTr="226FEDAA">
        <w:tc>
          <w:tcPr>
            <w:tcW w:w="4508" w:type="dxa"/>
          </w:tcPr>
          <w:p w14:paraId="1F54D728" w14:textId="6DD54685" w:rsidR="0001456C" w:rsidRPr="00DA0BDA" w:rsidRDefault="0001456C" w:rsidP="004537CA">
            <w:pPr>
              <w:rPr>
                <w:rFonts w:ascii="Arial" w:hAnsi="Arial" w:cs="Arial"/>
                <w:b/>
                <w:bCs/>
              </w:rPr>
            </w:pPr>
            <w:r w:rsidRPr="00DA0BDA">
              <w:rPr>
                <w:rFonts w:ascii="Arial" w:hAnsi="Arial" w:cs="Arial"/>
                <w:b/>
                <w:bCs/>
              </w:rPr>
              <w:t>Proportion of men and women receiving a bonus (in year)</w:t>
            </w:r>
          </w:p>
        </w:tc>
        <w:tc>
          <w:tcPr>
            <w:tcW w:w="4508" w:type="dxa"/>
          </w:tcPr>
          <w:p w14:paraId="14CED819" w14:textId="267DE785" w:rsidR="0001456C" w:rsidRPr="00DA0BDA" w:rsidRDefault="00DE64D4" w:rsidP="004537CA">
            <w:pPr>
              <w:rPr>
                <w:rFonts w:ascii="Arial" w:hAnsi="Arial" w:cs="Arial"/>
                <w:b/>
                <w:bCs/>
              </w:rPr>
            </w:pPr>
            <w:r w:rsidRPr="00DA0BDA">
              <w:rPr>
                <w:rFonts w:ascii="Arial" w:hAnsi="Arial" w:cs="Arial"/>
                <w:b/>
                <w:bCs/>
              </w:rPr>
              <w:t>% of employees</w:t>
            </w:r>
          </w:p>
        </w:tc>
      </w:tr>
      <w:tr w:rsidR="0001456C" w:rsidRPr="00DA0BDA" w14:paraId="77E1FDF0" w14:textId="77777777" w:rsidTr="226FEDAA">
        <w:tc>
          <w:tcPr>
            <w:tcW w:w="4508" w:type="dxa"/>
          </w:tcPr>
          <w:p w14:paraId="18C13544" w14:textId="29218539" w:rsidR="0001456C" w:rsidRPr="00DA0BDA" w:rsidRDefault="00F21EC1" w:rsidP="004537CA">
            <w:pPr>
              <w:rPr>
                <w:rFonts w:ascii="Arial" w:hAnsi="Arial" w:cs="Arial"/>
              </w:rPr>
            </w:pPr>
            <w:r w:rsidRPr="00DA0BDA">
              <w:rPr>
                <w:rFonts w:ascii="Arial" w:hAnsi="Arial" w:cs="Arial"/>
              </w:rPr>
              <w:t xml:space="preserve">% </w:t>
            </w:r>
            <w:r w:rsidR="0048615C" w:rsidRPr="00DA0BDA">
              <w:rPr>
                <w:rFonts w:ascii="Arial" w:hAnsi="Arial" w:cs="Arial"/>
              </w:rPr>
              <w:t>W</w:t>
            </w:r>
            <w:r w:rsidRPr="00DA0BDA">
              <w:rPr>
                <w:rFonts w:ascii="Arial" w:hAnsi="Arial" w:cs="Arial"/>
              </w:rPr>
              <w:t>omen</w:t>
            </w:r>
          </w:p>
        </w:tc>
        <w:tc>
          <w:tcPr>
            <w:tcW w:w="4508" w:type="dxa"/>
          </w:tcPr>
          <w:p w14:paraId="47252AA6" w14:textId="289076CC" w:rsidR="0001456C" w:rsidRPr="00DA0BDA" w:rsidRDefault="75391D98" w:rsidP="004537CA">
            <w:pPr>
              <w:rPr>
                <w:rFonts w:ascii="Arial" w:hAnsi="Arial" w:cs="Arial"/>
              </w:rPr>
            </w:pPr>
            <w:r w:rsidRPr="00DA0BDA">
              <w:rPr>
                <w:rFonts w:ascii="Arial" w:hAnsi="Arial" w:cs="Arial"/>
              </w:rPr>
              <w:t>96</w:t>
            </w:r>
            <w:r w:rsidR="43D425DF" w:rsidRPr="00DA0BDA">
              <w:rPr>
                <w:rFonts w:ascii="Arial" w:hAnsi="Arial" w:cs="Arial"/>
              </w:rPr>
              <w:t>.6</w:t>
            </w:r>
            <w:r w:rsidRPr="00DA0BDA">
              <w:rPr>
                <w:rFonts w:ascii="Arial" w:hAnsi="Arial" w:cs="Arial"/>
              </w:rPr>
              <w:t>%</w:t>
            </w:r>
          </w:p>
        </w:tc>
      </w:tr>
      <w:tr w:rsidR="0001456C" w:rsidRPr="00DA0BDA" w14:paraId="184054EF" w14:textId="77777777" w:rsidTr="226FEDAA">
        <w:tc>
          <w:tcPr>
            <w:tcW w:w="4508" w:type="dxa"/>
          </w:tcPr>
          <w:p w14:paraId="33D7E603" w14:textId="631F3A97" w:rsidR="0001456C" w:rsidRPr="00DA0BDA" w:rsidRDefault="00F21EC1" w:rsidP="004537CA">
            <w:pPr>
              <w:rPr>
                <w:rFonts w:ascii="Arial" w:hAnsi="Arial" w:cs="Arial"/>
              </w:rPr>
            </w:pPr>
            <w:r w:rsidRPr="00DA0BDA">
              <w:rPr>
                <w:rFonts w:ascii="Arial" w:hAnsi="Arial" w:cs="Arial"/>
              </w:rPr>
              <w:t xml:space="preserve">% </w:t>
            </w:r>
            <w:r w:rsidR="0048615C" w:rsidRPr="00DA0BDA">
              <w:rPr>
                <w:rFonts w:ascii="Arial" w:hAnsi="Arial" w:cs="Arial"/>
              </w:rPr>
              <w:t>M</w:t>
            </w:r>
            <w:r w:rsidRPr="00DA0BDA">
              <w:rPr>
                <w:rFonts w:ascii="Arial" w:hAnsi="Arial" w:cs="Arial"/>
              </w:rPr>
              <w:t>en</w:t>
            </w:r>
          </w:p>
        </w:tc>
        <w:tc>
          <w:tcPr>
            <w:tcW w:w="4508" w:type="dxa"/>
          </w:tcPr>
          <w:p w14:paraId="7C9FC472" w14:textId="7BD7CC5A" w:rsidR="0001456C" w:rsidRPr="00DA0BDA" w:rsidRDefault="75391D98" w:rsidP="004537CA">
            <w:pPr>
              <w:rPr>
                <w:rFonts w:ascii="Arial" w:hAnsi="Arial" w:cs="Arial"/>
              </w:rPr>
            </w:pPr>
            <w:r w:rsidRPr="00DA0BDA">
              <w:rPr>
                <w:rFonts w:ascii="Arial" w:hAnsi="Arial" w:cs="Arial"/>
              </w:rPr>
              <w:t>96.</w:t>
            </w:r>
            <w:r w:rsidR="30D03CD2" w:rsidRPr="00DA0BDA">
              <w:rPr>
                <w:rFonts w:ascii="Arial" w:hAnsi="Arial" w:cs="Arial"/>
              </w:rPr>
              <w:t>0</w:t>
            </w:r>
            <w:r w:rsidRPr="00DA0BDA">
              <w:rPr>
                <w:rFonts w:ascii="Arial" w:hAnsi="Arial" w:cs="Arial"/>
              </w:rPr>
              <w:t>%</w:t>
            </w:r>
          </w:p>
        </w:tc>
      </w:tr>
    </w:tbl>
    <w:p w14:paraId="324F1E3B" w14:textId="77777777" w:rsidR="00B627BF" w:rsidRPr="00DA0BDA" w:rsidRDefault="00B627BF" w:rsidP="004537CA">
      <w:pPr>
        <w:rPr>
          <w:rFonts w:ascii="Arial" w:hAnsi="Arial" w:cs="Arial"/>
        </w:rPr>
      </w:pPr>
    </w:p>
    <w:p w14:paraId="4DCF45C4" w14:textId="138E6075" w:rsidR="002B5C6F" w:rsidRPr="00DA0BDA" w:rsidRDefault="002B5C6F" w:rsidP="004537CA">
      <w:pPr>
        <w:rPr>
          <w:rFonts w:ascii="Arial" w:hAnsi="Arial" w:cs="Arial"/>
          <w:b/>
          <w:bCs/>
        </w:rPr>
      </w:pPr>
      <w:r w:rsidRPr="00DA0BDA">
        <w:rPr>
          <w:rFonts w:ascii="Arial" w:hAnsi="Arial" w:cs="Arial"/>
          <w:b/>
          <w:bCs/>
        </w:rPr>
        <w:t xml:space="preserve">Pay </w:t>
      </w:r>
      <w:r w:rsidR="00D73919" w:rsidRPr="00DA0BDA">
        <w:rPr>
          <w:rFonts w:ascii="Arial" w:hAnsi="Arial" w:cs="Arial"/>
          <w:b/>
          <w:bCs/>
        </w:rPr>
        <w:t>Q</w:t>
      </w:r>
      <w:r w:rsidRPr="00DA0BDA">
        <w:rPr>
          <w:rFonts w:ascii="Arial" w:hAnsi="Arial" w:cs="Arial"/>
          <w:b/>
          <w:bCs/>
        </w:rPr>
        <w:t xml:space="preserve">uartiles </w:t>
      </w:r>
    </w:p>
    <w:tbl>
      <w:tblPr>
        <w:tblStyle w:val="TableGrid"/>
        <w:tblW w:w="0" w:type="auto"/>
        <w:tblLook w:val="04A0" w:firstRow="1" w:lastRow="0" w:firstColumn="1" w:lastColumn="0" w:noHBand="0" w:noVBand="1"/>
      </w:tblPr>
      <w:tblGrid>
        <w:gridCol w:w="3823"/>
        <w:gridCol w:w="1559"/>
        <w:gridCol w:w="1843"/>
        <w:gridCol w:w="1791"/>
      </w:tblGrid>
      <w:tr w:rsidR="00902235" w:rsidRPr="00DA0BDA" w14:paraId="663EC5DD" w14:textId="77777777" w:rsidTr="00F64322">
        <w:tc>
          <w:tcPr>
            <w:tcW w:w="3823" w:type="dxa"/>
          </w:tcPr>
          <w:p w14:paraId="26CC2446" w14:textId="387EA045" w:rsidR="00902235" w:rsidRPr="00DA0BDA" w:rsidRDefault="00902235" w:rsidP="004537CA">
            <w:pPr>
              <w:rPr>
                <w:rFonts w:ascii="Arial" w:hAnsi="Arial" w:cs="Arial"/>
                <w:b/>
                <w:bCs/>
              </w:rPr>
            </w:pPr>
            <w:r w:rsidRPr="00DA0BDA">
              <w:rPr>
                <w:rFonts w:ascii="Arial" w:hAnsi="Arial" w:cs="Arial"/>
                <w:b/>
                <w:bCs/>
              </w:rPr>
              <w:t>Pay Quartiles</w:t>
            </w:r>
          </w:p>
        </w:tc>
        <w:tc>
          <w:tcPr>
            <w:tcW w:w="1559" w:type="dxa"/>
          </w:tcPr>
          <w:p w14:paraId="009852FF" w14:textId="20D8C046" w:rsidR="00902235" w:rsidRPr="00DA0BDA" w:rsidRDefault="00902235" w:rsidP="004537CA">
            <w:pPr>
              <w:rPr>
                <w:rFonts w:ascii="Arial" w:hAnsi="Arial" w:cs="Arial"/>
                <w:b/>
                <w:bCs/>
              </w:rPr>
            </w:pPr>
            <w:r w:rsidRPr="00DA0BDA">
              <w:rPr>
                <w:rFonts w:ascii="Arial" w:hAnsi="Arial" w:cs="Arial"/>
                <w:b/>
                <w:bCs/>
              </w:rPr>
              <w:t>Women</w:t>
            </w:r>
          </w:p>
        </w:tc>
        <w:tc>
          <w:tcPr>
            <w:tcW w:w="1843" w:type="dxa"/>
          </w:tcPr>
          <w:p w14:paraId="6EB4B1A3" w14:textId="78DD697E" w:rsidR="00902235" w:rsidRPr="00DA0BDA" w:rsidRDefault="00902235" w:rsidP="004537CA">
            <w:pPr>
              <w:rPr>
                <w:rFonts w:ascii="Arial" w:hAnsi="Arial" w:cs="Arial"/>
                <w:b/>
                <w:bCs/>
              </w:rPr>
            </w:pPr>
            <w:r w:rsidRPr="00DA0BDA">
              <w:rPr>
                <w:rFonts w:ascii="Arial" w:hAnsi="Arial" w:cs="Arial"/>
                <w:b/>
                <w:bCs/>
              </w:rPr>
              <w:t>Men</w:t>
            </w:r>
          </w:p>
        </w:tc>
        <w:tc>
          <w:tcPr>
            <w:tcW w:w="1791" w:type="dxa"/>
          </w:tcPr>
          <w:p w14:paraId="250FB27A" w14:textId="06FCCD1E" w:rsidR="00902235" w:rsidRPr="00DA0BDA" w:rsidRDefault="00902235" w:rsidP="004537CA">
            <w:pPr>
              <w:rPr>
                <w:rFonts w:ascii="Arial" w:hAnsi="Arial" w:cs="Arial"/>
                <w:b/>
                <w:bCs/>
              </w:rPr>
            </w:pPr>
            <w:r w:rsidRPr="00DA0BDA">
              <w:rPr>
                <w:rFonts w:ascii="Arial" w:hAnsi="Arial" w:cs="Arial"/>
                <w:b/>
                <w:bCs/>
              </w:rPr>
              <w:t>Total</w:t>
            </w:r>
          </w:p>
        </w:tc>
      </w:tr>
      <w:tr w:rsidR="00902235" w:rsidRPr="00DA0BDA" w14:paraId="0EBD1ED3" w14:textId="77777777" w:rsidTr="00F64322">
        <w:tc>
          <w:tcPr>
            <w:tcW w:w="3823" w:type="dxa"/>
          </w:tcPr>
          <w:p w14:paraId="11399D6F" w14:textId="14E5E7BD" w:rsidR="00902235" w:rsidRPr="00DA0BDA" w:rsidRDefault="00B0308F" w:rsidP="004537CA">
            <w:pPr>
              <w:rPr>
                <w:rFonts w:ascii="Arial" w:hAnsi="Arial" w:cs="Arial"/>
              </w:rPr>
            </w:pPr>
            <w:r w:rsidRPr="00DA0BDA">
              <w:rPr>
                <w:rFonts w:ascii="Arial" w:hAnsi="Arial" w:cs="Arial"/>
              </w:rPr>
              <w:t>Q1 (lowest</w:t>
            </w:r>
            <w:r w:rsidR="00F64322" w:rsidRPr="00DA0BDA">
              <w:rPr>
                <w:rFonts w:ascii="Arial" w:hAnsi="Arial" w:cs="Arial"/>
              </w:rPr>
              <w:t xml:space="preserve"> salary</w:t>
            </w:r>
            <w:r w:rsidRPr="00DA0BDA">
              <w:rPr>
                <w:rFonts w:ascii="Arial" w:hAnsi="Arial" w:cs="Arial"/>
              </w:rPr>
              <w:t>)</w:t>
            </w:r>
          </w:p>
        </w:tc>
        <w:tc>
          <w:tcPr>
            <w:tcW w:w="1559" w:type="dxa"/>
          </w:tcPr>
          <w:p w14:paraId="6A595F3F" w14:textId="34675085" w:rsidR="00902235" w:rsidRPr="00DA0BDA" w:rsidRDefault="00FC62F3" w:rsidP="004537CA">
            <w:pPr>
              <w:rPr>
                <w:rFonts w:ascii="Arial" w:hAnsi="Arial" w:cs="Arial"/>
              </w:rPr>
            </w:pPr>
            <w:r w:rsidRPr="00DA0BDA">
              <w:rPr>
                <w:rFonts w:ascii="Arial" w:hAnsi="Arial" w:cs="Arial"/>
              </w:rPr>
              <w:t>45%</w:t>
            </w:r>
          </w:p>
        </w:tc>
        <w:tc>
          <w:tcPr>
            <w:tcW w:w="1843" w:type="dxa"/>
          </w:tcPr>
          <w:p w14:paraId="01A7EF5F" w14:textId="7F46A14E" w:rsidR="00902235" w:rsidRPr="00DA0BDA" w:rsidRDefault="00FC62F3" w:rsidP="004537CA">
            <w:pPr>
              <w:rPr>
                <w:rFonts w:ascii="Arial" w:hAnsi="Arial" w:cs="Arial"/>
              </w:rPr>
            </w:pPr>
            <w:r w:rsidRPr="00DA0BDA">
              <w:rPr>
                <w:rFonts w:ascii="Arial" w:hAnsi="Arial" w:cs="Arial"/>
              </w:rPr>
              <w:t>55%</w:t>
            </w:r>
          </w:p>
        </w:tc>
        <w:tc>
          <w:tcPr>
            <w:tcW w:w="1791" w:type="dxa"/>
          </w:tcPr>
          <w:p w14:paraId="2296D02D" w14:textId="06505B69" w:rsidR="00902235" w:rsidRPr="00DA0BDA" w:rsidRDefault="001C6E5B" w:rsidP="004537CA">
            <w:pPr>
              <w:rPr>
                <w:rFonts w:ascii="Arial" w:hAnsi="Arial" w:cs="Arial"/>
              </w:rPr>
            </w:pPr>
            <w:r w:rsidRPr="00DA0BDA">
              <w:rPr>
                <w:rFonts w:ascii="Arial" w:hAnsi="Arial" w:cs="Arial"/>
              </w:rPr>
              <w:t>100%</w:t>
            </w:r>
          </w:p>
        </w:tc>
      </w:tr>
      <w:tr w:rsidR="001C6E5B" w:rsidRPr="00DA0BDA" w14:paraId="0C1FE13E" w14:textId="77777777" w:rsidTr="00F64322">
        <w:tc>
          <w:tcPr>
            <w:tcW w:w="3823" w:type="dxa"/>
          </w:tcPr>
          <w:p w14:paraId="085446C8" w14:textId="3B048E80" w:rsidR="001C6E5B" w:rsidRPr="00DA0BDA" w:rsidRDefault="001C6E5B" w:rsidP="001C6E5B">
            <w:pPr>
              <w:rPr>
                <w:rFonts w:ascii="Arial" w:hAnsi="Arial" w:cs="Arial"/>
              </w:rPr>
            </w:pPr>
            <w:r w:rsidRPr="00DA0BDA">
              <w:rPr>
                <w:rFonts w:ascii="Arial" w:hAnsi="Arial" w:cs="Arial"/>
              </w:rPr>
              <w:t>Q2 (lower-middle salary)</w:t>
            </w:r>
          </w:p>
        </w:tc>
        <w:tc>
          <w:tcPr>
            <w:tcW w:w="1559" w:type="dxa"/>
          </w:tcPr>
          <w:p w14:paraId="242C1261" w14:textId="2EC5FD87" w:rsidR="001C6E5B" w:rsidRPr="00DA0BDA" w:rsidRDefault="001C6E5B" w:rsidP="001C6E5B">
            <w:pPr>
              <w:rPr>
                <w:rFonts w:ascii="Arial" w:hAnsi="Arial" w:cs="Arial"/>
              </w:rPr>
            </w:pPr>
            <w:r w:rsidRPr="00DA0BDA">
              <w:rPr>
                <w:rFonts w:ascii="Arial" w:hAnsi="Arial" w:cs="Arial"/>
              </w:rPr>
              <w:t>47%</w:t>
            </w:r>
          </w:p>
        </w:tc>
        <w:tc>
          <w:tcPr>
            <w:tcW w:w="1843" w:type="dxa"/>
          </w:tcPr>
          <w:p w14:paraId="49C9D969" w14:textId="2AB41378" w:rsidR="001C6E5B" w:rsidRPr="00DA0BDA" w:rsidRDefault="001C6E5B" w:rsidP="001C6E5B">
            <w:pPr>
              <w:rPr>
                <w:rFonts w:ascii="Arial" w:hAnsi="Arial" w:cs="Arial"/>
              </w:rPr>
            </w:pPr>
            <w:r w:rsidRPr="00DA0BDA">
              <w:rPr>
                <w:rFonts w:ascii="Arial" w:hAnsi="Arial" w:cs="Arial"/>
              </w:rPr>
              <w:t>53%</w:t>
            </w:r>
          </w:p>
        </w:tc>
        <w:tc>
          <w:tcPr>
            <w:tcW w:w="1791" w:type="dxa"/>
          </w:tcPr>
          <w:p w14:paraId="5FA65BE2" w14:textId="4E54CB53" w:rsidR="001C6E5B" w:rsidRPr="00DA0BDA" w:rsidRDefault="001C6E5B" w:rsidP="001C6E5B">
            <w:pPr>
              <w:rPr>
                <w:rFonts w:ascii="Arial" w:hAnsi="Arial" w:cs="Arial"/>
              </w:rPr>
            </w:pPr>
            <w:r w:rsidRPr="00DA0BDA">
              <w:rPr>
                <w:rFonts w:ascii="Arial" w:hAnsi="Arial" w:cs="Arial"/>
              </w:rPr>
              <w:t>100%</w:t>
            </w:r>
          </w:p>
        </w:tc>
      </w:tr>
      <w:tr w:rsidR="001C6E5B" w:rsidRPr="00DA0BDA" w14:paraId="19E3DA48" w14:textId="77777777" w:rsidTr="00F64322">
        <w:tc>
          <w:tcPr>
            <w:tcW w:w="3823" w:type="dxa"/>
          </w:tcPr>
          <w:p w14:paraId="3E10CFD4" w14:textId="56CAF60A" w:rsidR="001C6E5B" w:rsidRPr="00DA0BDA" w:rsidRDefault="004E2B30" w:rsidP="001C6E5B">
            <w:pPr>
              <w:rPr>
                <w:rFonts w:ascii="Arial" w:hAnsi="Arial" w:cs="Arial"/>
              </w:rPr>
            </w:pPr>
            <w:r w:rsidRPr="00DA0BDA">
              <w:rPr>
                <w:rFonts w:ascii="Arial" w:hAnsi="Arial" w:cs="Arial"/>
              </w:rPr>
              <w:t>Q</w:t>
            </w:r>
            <w:r w:rsidR="001C6E5B" w:rsidRPr="00DA0BDA">
              <w:rPr>
                <w:rFonts w:ascii="Arial" w:hAnsi="Arial" w:cs="Arial"/>
              </w:rPr>
              <w:t>3 (higher- middle salary)</w:t>
            </w:r>
          </w:p>
        </w:tc>
        <w:tc>
          <w:tcPr>
            <w:tcW w:w="1559" w:type="dxa"/>
          </w:tcPr>
          <w:p w14:paraId="2601DCB9" w14:textId="478494C3" w:rsidR="001C6E5B" w:rsidRPr="00DA0BDA" w:rsidRDefault="001C6E5B" w:rsidP="001C6E5B">
            <w:pPr>
              <w:rPr>
                <w:rFonts w:ascii="Arial" w:hAnsi="Arial" w:cs="Arial"/>
              </w:rPr>
            </w:pPr>
            <w:r w:rsidRPr="00DA0BDA">
              <w:rPr>
                <w:rFonts w:ascii="Arial" w:hAnsi="Arial" w:cs="Arial"/>
              </w:rPr>
              <w:t>34%</w:t>
            </w:r>
          </w:p>
        </w:tc>
        <w:tc>
          <w:tcPr>
            <w:tcW w:w="1843" w:type="dxa"/>
          </w:tcPr>
          <w:p w14:paraId="307D5D7B" w14:textId="3FB11D1E" w:rsidR="001C6E5B" w:rsidRPr="00DA0BDA" w:rsidRDefault="001C6E5B" w:rsidP="001C6E5B">
            <w:pPr>
              <w:rPr>
                <w:rFonts w:ascii="Arial" w:hAnsi="Arial" w:cs="Arial"/>
              </w:rPr>
            </w:pPr>
            <w:r w:rsidRPr="00DA0BDA">
              <w:rPr>
                <w:rFonts w:ascii="Arial" w:hAnsi="Arial" w:cs="Arial"/>
              </w:rPr>
              <w:t>66%</w:t>
            </w:r>
          </w:p>
        </w:tc>
        <w:tc>
          <w:tcPr>
            <w:tcW w:w="1791" w:type="dxa"/>
          </w:tcPr>
          <w:p w14:paraId="5477FAF8" w14:textId="26091C40" w:rsidR="001C6E5B" w:rsidRPr="00DA0BDA" w:rsidRDefault="001C6E5B" w:rsidP="001C6E5B">
            <w:pPr>
              <w:rPr>
                <w:rFonts w:ascii="Arial" w:hAnsi="Arial" w:cs="Arial"/>
              </w:rPr>
            </w:pPr>
            <w:r w:rsidRPr="00DA0BDA">
              <w:rPr>
                <w:rFonts w:ascii="Arial" w:hAnsi="Arial" w:cs="Arial"/>
              </w:rPr>
              <w:t>100%</w:t>
            </w:r>
          </w:p>
        </w:tc>
      </w:tr>
      <w:tr w:rsidR="001C6E5B" w:rsidRPr="00DA0BDA" w14:paraId="2501AFD8" w14:textId="77777777" w:rsidTr="00F64322">
        <w:tc>
          <w:tcPr>
            <w:tcW w:w="3823" w:type="dxa"/>
          </w:tcPr>
          <w:p w14:paraId="5539BBFF" w14:textId="39026276" w:rsidR="001C6E5B" w:rsidRPr="00DA0BDA" w:rsidRDefault="001C6E5B" w:rsidP="001C6E5B">
            <w:pPr>
              <w:rPr>
                <w:rFonts w:ascii="Arial" w:hAnsi="Arial" w:cs="Arial"/>
              </w:rPr>
            </w:pPr>
            <w:r w:rsidRPr="00DA0BDA">
              <w:rPr>
                <w:rFonts w:ascii="Arial" w:hAnsi="Arial" w:cs="Arial"/>
              </w:rPr>
              <w:t>Q4 (highest salary)</w:t>
            </w:r>
          </w:p>
        </w:tc>
        <w:tc>
          <w:tcPr>
            <w:tcW w:w="1559" w:type="dxa"/>
          </w:tcPr>
          <w:p w14:paraId="22EDF630" w14:textId="24508372" w:rsidR="001C6E5B" w:rsidRPr="00DA0BDA" w:rsidRDefault="001C6E5B" w:rsidP="001C6E5B">
            <w:pPr>
              <w:rPr>
                <w:rFonts w:ascii="Arial" w:hAnsi="Arial" w:cs="Arial"/>
              </w:rPr>
            </w:pPr>
            <w:r w:rsidRPr="00DA0BDA">
              <w:rPr>
                <w:rFonts w:ascii="Arial" w:hAnsi="Arial" w:cs="Arial"/>
              </w:rPr>
              <w:t>32%</w:t>
            </w:r>
          </w:p>
        </w:tc>
        <w:tc>
          <w:tcPr>
            <w:tcW w:w="1843" w:type="dxa"/>
          </w:tcPr>
          <w:p w14:paraId="1E0A4D08" w14:textId="7E53D0D1" w:rsidR="001C6E5B" w:rsidRPr="00DA0BDA" w:rsidRDefault="001C6E5B" w:rsidP="001C6E5B">
            <w:pPr>
              <w:rPr>
                <w:rFonts w:ascii="Arial" w:hAnsi="Arial" w:cs="Arial"/>
              </w:rPr>
            </w:pPr>
            <w:r w:rsidRPr="00DA0BDA">
              <w:rPr>
                <w:rFonts w:ascii="Arial" w:hAnsi="Arial" w:cs="Arial"/>
              </w:rPr>
              <w:t>68%</w:t>
            </w:r>
          </w:p>
        </w:tc>
        <w:tc>
          <w:tcPr>
            <w:tcW w:w="1791" w:type="dxa"/>
          </w:tcPr>
          <w:p w14:paraId="0C39EB39" w14:textId="468D88B5" w:rsidR="001C6E5B" w:rsidRPr="00DA0BDA" w:rsidRDefault="001C6E5B" w:rsidP="001C6E5B">
            <w:pPr>
              <w:rPr>
                <w:rFonts w:ascii="Arial" w:hAnsi="Arial" w:cs="Arial"/>
              </w:rPr>
            </w:pPr>
            <w:r w:rsidRPr="00DA0BDA">
              <w:rPr>
                <w:rFonts w:ascii="Arial" w:hAnsi="Arial" w:cs="Arial"/>
              </w:rPr>
              <w:t>100%</w:t>
            </w:r>
          </w:p>
        </w:tc>
      </w:tr>
    </w:tbl>
    <w:p w14:paraId="0AE3CEFD" w14:textId="77777777" w:rsidR="00D73919" w:rsidRPr="00DA0BDA" w:rsidRDefault="00D73919" w:rsidP="004537CA">
      <w:pPr>
        <w:rPr>
          <w:rFonts w:ascii="Arial" w:hAnsi="Arial" w:cs="Arial"/>
        </w:rPr>
      </w:pPr>
    </w:p>
    <w:p w14:paraId="5C6328D5" w14:textId="77777777" w:rsidR="00F72BF2" w:rsidRPr="00DA0BDA" w:rsidRDefault="00F72BF2">
      <w:pPr>
        <w:rPr>
          <w:rFonts w:ascii="Arial" w:eastAsiaTheme="majorEastAsia" w:hAnsi="Arial" w:cs="Arial"/>
          <w:color w:val="1F3763" w:themeColor="accent1" w:themeShade="7F"/>
        </w:rPr>
      </w:pPr>
      <w:r w:rsidRPr="00DA0BDA">
        <w:rPr>
          <w:rFonts w:ascii="Arial" w:hAnsi="Arial" w:cs="Arial"/>
        </w:rPr>
        <w:br w:type="page"/>
      </w:r>
    </w:p>
    <w:p w14:paraId="2B4C1246" w14:textId="11935651" w:rsidR="004537CA" w:rsidRDefault="00463864" w:rsidP="007877D6">
      <w:pPr>
        <w:pStyle w:val="Heading2"/>
        <w:rPr>
          <w:rFonts w:ascii="Arial" w:hAnsi="Arial" w:cs="Arial"/>
        </w:rPr>
      </w:pPr>
      <w:bookmarkStart w:id="13" w:name="_Toc1479893048"/>
      <w:r w:rsidRPr="007877D6">
        <w:rPr>
          <w:rFonts w:ascii="Arial" w:hAnsi="Arial" w:cs="Arial"/>
        </w:rPr>
        <w:lastRenderedPageBreak/>
        <w:t>Key Findings</w:t>
      </w:r>
      <w:bookmarkEnd w:id="13"/>
    </w:p>
    <w:p w14:paraId="414C59D0" w14:textId="77777777" w:rsidR="007877D6" w:rsidRPr="007877D6" w:rsidRDefault="007877D6" w:rsidP="007877D6"/>
    <w:p w14:paraId="3ABE0788" w14:textId="20E79169" w:rsidR="00204D96" w:rsidRPr="00DA0BDA" w:rsidRDefault="007877D6" w:rsidP="00FE276B">
      <w:pPr>
        <w:rPr>
          <w:rFonts w:ascii="Arial" w:hAnsi="Arial" w:cs="Arial"/>
        </w:rPr>
      </w:pPr>
      <w:r>
        <w:rPr>
          <w:rFonts w:ascii="Arial" w:hAnsi="Arial" w:cs="Arial"/>
        </w:rPr>
        <w:t>T</w:t>
      </w:r>
      <w:r w:rsidR="00FB28EB" w:rsidRPr="00DA0BDA">
        <w:rPr>
          <w:rFonts w:ascii="Arial" w:hAnsi="Arial" w:cs="Arial"/>
        </w:rPr>
        <w:t xml:space="preserve">he snapshot taken on 31 March 2023, reports a mean pay gap of 5.90% in favour of men, this is an increase of 0.30% from 5.60% in 2022 and a median pay gap of 4.70% in favour of men, which is an increase of 0.6% from 4.1% in 2022. </w:t>
      </w:r>
    </w:p>
    <w:p w14:paraId="0757BB6D" w14:textId="77777777" w:rsidR="00204D96" w:rsidRPr="00DA0BDA" w:rsidRDefault="00FB28EB" w:rsidP="00FE276B">
      <w:pPr>
        <w:rPr>
          <w:rFonts w:ascii="Arial" w:hAnsi="Arial" w:cs="Arial"/>
        </w:rPr>
      </w:pPr>
      <w:r w:rsidRPr="00DA0BDA">
        <w:rPr>
          <w:rFonts w:ascii="Arial" w:hAnsi="Arial" w:cs="Arial"/>
        </w:rPr>
        <w:t xml:space="preserve">Percentages are calculated from hourly rates for individuals during March of each year and include salary, allowances and any bonus awards paid in month, less any salary sacrifice arrangements the individual has agreed to. Changes in amount or eligibility (for allowances) of any of these pay components will impact on the final gender pay gap metrics. </w:t>
      </w:r>
    </w:p>
    <w:p w14:paraId="51F401CC" w14:textId="77777777" w:rsidR="00204D96" w:rsidRPr="00DA0BDA" w:rsidRDefault="00FB28EB" w:rsidP="00FE276B">
      <w:pPr>
        <w:rPr>
          <w:rFonts w:ascii="Arial" w:hAnsi="Arial" w:cs="Arial"/>
        </w:rPr>
      </w:pPr>
      <w:r w:rsidRPr="00DA0BDA">
        <w:rPr>
          <w:rFonts w:ascii="Arial" w:hAnsi="Arial" w:cs="Arial"/>
        </w:rPr>
        <w:t xml:space="preserve">We are disappointed to see an increase in the pay gap metrics for the current year, but analysis has identified that the causes are more nuanced than necessarily arising from organisational actions as outlined below: </w:t>
      </w:r>
    </w:p>
    <w:p w14:paraId="42C6738A" w14:textId="0A656B47" w:rsidR="00D87FE3" w:rsidRDefault="00FB28EB" w:rsidP="007877D6">
      <w:pPr>
        <w:pStyle w:val="ListParagraph"/>
        <w:numPr>
          <w:ilvl w:val="0"/>
          <w:numId w:val="12"/>
        </w:numPr>
        <w:rPr>
          <w:rFonts w:ascii="Arial" w:hAnsi="Arial" w:cs="Arial"/>
        </w:rPr>
      </w:pPr>
      <w:r w:rsidRPr="007877D6">
        <w:rPr>
          <w:rFonts w:ascii="Arial" w:hAnsi="Arial" w:cs="Arial"/>
        </w:rPr>
        <w:t>Salary rates are unchanged from prior year. At the snapshot date our pay award for 2022-23 was still outstanding pending our pay remit approval from Cabinet Office. The impact of leavers and joiners within the organisation over the year has resulted in a small narrowing of the gap between men and women’s salaries in favour of women, however there is a larger and more significant movement in allowances.</w:t>
      </w:r>
    </w:p>
    <w:p w14:paraId="39F9D7F7" w14:textId="77777777" w:rsidR="007877D6" w:rsidRPr="007877D6" w:rsidRDefault="007877D6" w:rsidP="007877D6">
      <w:pPr>
        <w:pStyle w:val="ListParagraph"/>
        <w:rPr>
          <w:rFonts w:ascii="Arial" w:hAnsi="Arial" w:cs="Arial"/>
        </w:rPr>
      </w:pPr>
    </w:p>
    <w:p w14:paraId="7918BC22" w14:textId="77777777" w:rsidR="001363F2" w:rsidRDefault="00FB28EB" w:rsidP="00FE276B">
      <w:pPr>
        <w:pStyle w:val="ListParagraph"/>
        <w:numPr>
          <w:ilvl w:val="0"/>
          <w:numId w:val="12"/>
        </w:numPr>
        <w:rPr>
          <w:rFonts w:ascii="Arial" w:hAnsi="Arial" w:cs="Arial"/>
        </w:rPr>
      </w:pPr>
      <w:r w:rsidRPr="007877D6">
        <w:rPr>
          <w:rFonts w:ascii="Arial" w:hAnsi="Arial" w:cs="Arial"/>
        </w:rPr>
        <w:t xml:space="preserve">Allowances are paid to employees working unsocial hours (i.e. shift working) and/or in specific locations including overseas. Changes of location or working pattern may change an individual’s eligibility to specific allowances. The proportion of women receiving allowances has dropped from 18% to 15%, while the proportion of men receiving allowances has increased from 17% to 21%. There have been no changes to the values of allowances or eligibility during this time. Employees with the relevant skills have the opportunity to undertake deployments overseas to support customer requirements varying in length from a few months to several years. Allowances for overseas are typically higher representing the job requirements and environment. Between snapshot date of 31 March 2022 and 31 March 2023, the balance of women on overseas deployments has shifted from 60% to 44% impacting the level of allowances receivable by women. </w:t>
      </w:r>
    </w:p>
    <w:p w14:paraId="44F66454" w14:textId="77777777" w:rsidR="001363F2" w:rsidRPr="001363F2" w:rsidRDefault="001363F2" w:rsidP="001363F2">
      <w:pPr>
        <w:pStyle w:val="ListParagraph"/>
        <w:rPr>
          <w:rFonts w:ascii="Arial" w:hAnsi="Arial" w:cs="Arial"/>
        </w:rPr>
      </w:pPr>
    </w:p>
    <w:p w14:paraId="4FE9ED49" w14:textId="5BE4F1AF" w:rsidR="00204D96" w:rsidRPr="001363F2" w:rsidRDefault="00FB28EB" w:rsidP="00FE276B">
      <w:pPr>
        <w:pStyle w:val="ListParagraph"/>
        <w:numPr>
          <w:ilvl w:val="0"/>
          <w:numId w:val="12"/>
        </w:numPr>
        <w:rPr>
          <w:rFonts w:ascii="Arial" w:hAnsi="Arial" w:cs="Arial"/>
        </w:rPr>
      </w:pPr>
      <w:r w:rsidRPr="001363F2">
        <w:rPr>
          <w:rFonts w:ascii="Arial" w:hAnsi="Arial" w:cs="Arial"/>
        </w:rPr>
        <w:t>Bonus awards paid in March are from our instant recognition scheme (IRS). In March the average value of IRS awards to men was higher than women by 7%. However, when IRS payments are considered across the year, the average difference in IRS awards across the organisation between men and women is 1.1% in favour of women.</w:t>
      </w:r>
    </w:p>
    <w:p w14:paraId="18EE0C50" w14:textId="5C40E18F" w:rsidR="00FE276B" w:rsidRPr="00DA0BDA" w:rsidRDefault="00AA63A9" w:rsidP="00FE276B">
      <w:pPr>
        <w:rPr>
          <w:rFonts w:ascii="Arial" w:hAnsi="Arial" w:cs="Arial"/>
        </w:rPr>
      </w:pPr>
      <w:r w:rsidRPr="00DA0BDA">
        <w:rPr>
          <w:rFonts w:ascii="Arial" w:hAnsi="Arial" w:cs="Arial"/>
        </w:rPr>
        <w:t xml:space="preserve">Analysis </w:t>
      </w:r>
      <w:r w:rsidR="00BD1681" w:rsidRPr="00DA0BDA">
        <w:rPr>
          <w:rFonts w:ascii="Arial" w:hAnsi="Arial" w:cs="Arial"/>
        </w:rPr>
        <w:t>shows</w:t>
      </w:r>
      <w:r w:rsidRPr="00DA0BDA">
        <w:rPr>
          <w:rFonts w:ascii="Arial" w:hAnsi="Arial" w:cs="Arial"/>
        </w:rPr>
        <w:t xml:space="preserve"> the issues impacting the Met Office gender pay gap include:</w:t>
      </w:r>
    </w:p>
    <w:p w14:paraId="1FF2AFC6" w14:textId="77777777" w:rsidR="001363F2" w:rsidRDefault="007439EB" w:rsidP="00AA63A9">
      <w:pPr>
        <w:pStyle w:val="ListParagraph"/>
        <w:numPr>
          <w:ilvl w:val="0"/>
          <w:numId w:val="13"/>
        </w:numPr>
        <w:rPr>
          <w:rFonts w:ascii="Arial" w:hAnsi="Arial" w:cs="Arial"/>
        </w:rPr>
      </w:pPr>
      <w:r w:rsidRPr="001363F2">
        <w:rPr>
          <w:rFonts w:ascii="Arial" w:hAnsi="Arial" w:cs="Arial"/>
        </w:rPr>
        <w:t xml:space="preserve">Low representation of women at senior levels: while women represent 39% of the organisation, they are only 32% and 34% of the top and middle top quartiles. The top quartile representation has increased from the previous year when it was 30%. We continue to look at our recruitment and progression processes to remove barriers for women and during the year, 46% of new joiners were women. Looking ahead we will be further working on our People Strategy focusing on People Leadership and using this to inspire women to become future leaders. </w:t>
      </w:r>
    </w:p>
    <w:p w14:paraId="1A0DBB45" w14:textId="77777777" w:rsidR="001363F2" w:rsidRDefault="001363F2" w:rsidP="001363F2">
      <w:pPr>
        <w:pStyle w:val="ListParagraph"/>
        <w:rPr>
          <w:rFonts w:ascii="Arial" w:hAnsi="Arial" w:cs="Arial"/>
        </w:rPr>
      </w:pPr>
    </w:p>
    <w:p w14:paraId="253475B2" w14:textId="77777777" w:rsidR="001363F2" w:rsidRDefault="007439EB" w:rsidP="00AA63A9">
      <w:pPr>
        <w:pStyle w:val="ListParagraph"/>
        <w:numPr>
          <w:ilvl w:val="0"/>
          <w:numId w:val="13"/>
        </w:numPr>
        <w:rPr>
          <w:rFonts w:ascii="Arial" w:hAnsi="Arial" w:cs="Arial"/>
        </w:rPr>
      </w:pPr>
      <w:r w:rsidRPr="001363F2">
        <w:rPr>
          <w:rFonts w:ascii="Arial" w:hAnsi="Arial" w:cs="Arial"/>
        </w:rPr>
        <w:t xml:space="preserve">High level of STEM roles: a significant proportion of our roles require capability in STEM (Science, Technology, Engineering and Mathematics) subjects. The low </w:t>
      </w:r>
      <w:r w:rsidRPr="001363F2">
        <w:rPr>
          <w:rFonts w:ascii="Arial" w:hAnsi="Arial" w:cs="Arial"/>
        </w:rPr>
        <w:lastRenderedPageBreak/>
        <w:t xml:space="preserve">number of women who study STEM subjects is a barrier to recruiting women into these roles, but we are supporting change in this and have a comprehensive Education Outreach and STEM ambassador programme who continue to engage, present and attend STEM events to promote these wonderful subjects from primary age up to inspire the younger generation to study and work in these areas. </w:t>
      </w:r>
    </w:p>
    <w:p w14:paraId="6893E5C9" w14:textId="77777777" w:rsidR="001363F2" w:rsidRPr="001363F2" w:rsidRDefault="001363F2" w:rsidP="001363F2">
      <w:pPr>
        <w:pStyle w:val="ListParagraph"/>
        <w:rPr>
          <w:rFonts w:ascii="Arial" w:hAnsi="Arial" w:cs="Arial"/>
        </w:rPr>
      </w:pPr>
    </w:p>
    <w:p w14:paraId="206324E1" w14:textId="6BE75854" w:rsidR="00781B18" w:rsidRPr="001363F2" w:rsidRDefault="007439EB" w:rsidP="00AA63A9">
      <w:pPr>
        <w:pStyle w:val="ListParagraph"/>
        <w:numPr>
          <w:ilvl w:val="0"/>
          <w:numId w:val="13"/>
        </w:numPr>
        <w:rPr>
          <w:rFonts w:ascii="Arial" w:hAnsi="Arial" w:cs="Arial"/>
        </w:rPr>
      </w:pPr>
      <w:r w:rsidRPr="001363F2">
        <w:rPr>
          <w:rFonts w:ascii="Arial" w:hAnsi="Arial" w:cs="Arial"/>
        </w:rPr>
        <w:t xml:space="preserve">Market premiums payable to particular professions: skills in sectors such as IT and engineering continue to be in short supply, and in order to compete these roles attract a market premium rate of pay. These roles typically have a much higher proportion of men and therefore the premium payment increases average pay for men disproportionately, even though the premium payment is equal to men and women in the same eligible jobs. We will look to attract more women into IT and engineering opportunities as part of the implementation of our new Supercomputer, providing opportunities to promote the great career options available in this ever changing and exciting field. </w:t>
      </w:r>
    </w:p>
    <w:p w14:paraId="5BBD8173" w14:textId="77777777" w:rsidR="00781B18" w:rsidRPr="00DA0BDA" w:rsidRDefault="007439EB" w:rsidP="00AA63A9">
      <w:pPr>
        <w:rPr>
          <w:rFonts w:ascii="Arial" w:hAnsi="Arial" w:cs="Arial"/>
        </w:rPr>
      </w:pPr>
      <w:r w:rsidRPr="00DA0BDA">
        <w:rPr>
          <w:rFonts w:ascii="Arial" w:hAnsi="Arial" w:cs="Arial"/>
        </w:rPr>
        <w:t xml:space="preserve">The snapshot taken on 31 March 2023, reports a mean bonus pay gap of 5.40% in favour of men, this is an increase of 2.90% from 2.50% in 2022 and a median bonus pay gap of 1.30% in favour of men, which is an increase of 1.8% from -0.5% in 2022. </w:t>
      </w:r>
    </w:p>
    <w:p w14:paraId="1F3F5AA5" w14:textId="77777777" w:rsidR="00781B18" w:rsidRPr="00DA0BDA" w:rsidRDefault="007439EB" w:rsidP="00AA63A9">
      <w:pPr>
        <w:rPr>
          <w:rFonts w:ascii="Arial" w:hAnsi="Arial" w:cs="Arial"/>
        </w:rPr>
      </w:pPr>
      <w:r w:rsidRPr="00DA0BDA">
        <w:rPr>
          <w:rFonts w:ascii="Arial" w:hAnsi="Arial" w:cs="Arial"/>
        </w:rPr>
        <w:t xml:space="preserve">Factors affecting the bonus pay gap increase are linked to: </w:t>
      </w:r>
    </w:p>
    <w:p w14:paraId="7760DBF2" w14:textId="758F5185" w:rsidR="00BF7B84" w:rsidRPr="001363F2" w:rsidRDefault="007439EB" w:rsidP="001363F2">
      <w:pPr>
        <w:pStyle w:val="ListParagraph"/>
        <w:numPr>
          <w:ilvl w:val="0"/>
          <w:numId w:val="14"/>
        </w:numPr>
        <w:rPr>
          <w:rFonts w:ascii="Arial" w:hAnsi="Arial" w:cs="Arial"/>
        </w:rPr>
      </w:pPr>
      <w:r w:rsidRPr="001363F2">
        <w:rPr>
          <w:rFonts w:ascii="Arial" w:hAnsi="Arial" w:cs="Arial"/>
        </w:rPr>
        <w:t>Meeting eligibility requirements in respect of our Corporate Performance Pay (CPP). CPP is a discretionary bonus award in recognition of organisational performance and dependent on the achievement of key performance indicators set by the board annually. The gross value of CPP payment is equal to all eligible employees. To be eligible for CPP, employees need to be in post for 6 months of the related performance year, however as 46% new joiners were women, proportionately fewer were eligible as they did not meet the criteria. As a result, 84% of men were eligible for CPP while only 80% of women were eligible</w:t>
      </w:r>
      <w:r w:rsidR="00BF7B84" w:rsidRPr="001363F2">
        <w:rPr>
          <w:rFonts w:ascii="Arial" w:hAnsi="Arial" w:cs="Arial"/>
        </w:rPr>
        <w:t>.</w:t>
      </w:r>
    </w:p>
    <w:p w14:paraId="6A8E1CE4" w14:textId="77777777" w:rsidR="00BF7B84" w:rsidRPr="00DA0BDA" w:rsidRDefault="00BF7B84" w:rsidP="00AA63A9">
      <w:pPr>
        <w:rPr>
          <w:rFonts w:ascii="Arial" w:hAnsi="Arial" w:cs="Arial"/>
        </w:rPr>
      </w:pPr>
    </w:p>
    <w:p w14:paraId="0A60C4AE" w14:textId="59E2BD89" w:rsidR="00AA63A9" w:rsidRPr="00DA0BDA" w:rsidRDefault="00C52905" w:rsidP="00AA63A9">
      <w:pPr>
        <w:rPr>
          <w:rFonts w:ascii="Arial" w:hAnsi="Arial" w:cs="Arial"/>
        </w:rPr>
      </w:pPr>
      <w:r w:rsidRPr="00DA0BDA">
        <w:rPr>
          <w:rFonts w:ascii="Arial" w:hAnsi="Arial" w:cs="Arial"/>
        </w:rPr>
        <w:t xml:space="preserve">The following details the gender </w:t>
      </w:r>
      <w:r w:rsidR="00BB360A" w:rsidRPr="00DA0BDA">
        <w:rPr>
          <w:rFonts w:ascii="Arial" w:hAnsi="Arial" w:cs="Arial"/>
        </w:rPr>
        <w:t>pay,</w:t>
      </w:r>
      <w:r w:rsidRPr="00DA0BDA">
        <w:rPr>
          <w:rFonts w:ascii="Arial" w:hAnsi="Arial" w:cs="Arial"/>
        </w:rPr>
        <w:t xml:space="preserve"> and bonus pay gaps across the </w:t>
      </w:r>
      <w:r w:rsidR="00774477" w:rsidRPr="00DA0BDA">
        <w:rPr>
          <w:rFonts w:ascii="Arial" w:hAnsi="Arial" w:cs="Arial"/>
        </w:rPr>
        <w:t>last four snapshot dates.</w:t>
      </w:r>
    </w:p>
    <w:tbl>
      <w:tblPr>
        <w:tblStyle w:val="TableGrid"/>
        <w:tblW w:w="0" w:type="auto"/>
        <w:tblLook w:val="04A0" w:firstRow="1" w:lastRow="0" w:firstColumn="1" w:lastColumn="0" w:noHBand="0" w:noVBand="1"/>
      </w:tblPr>
      <w:tblGrid>
        <w:gridCol w:w="2972"/>
        <w:gridCol w:w="1559"/>
        <w:gridCol w:w="1418"/>
        <w:gridCol w:w="1559"/>
        <w:gridCol w:w="1508"/>
      </w:tblGrid>
      <w:tr w:rsidR="00AD75C9" w:rsidRPr="00DA0BDA" w14:paraId="7312BF9B" w14:textId="77777777" w:rsidTr="007B699A">
        <w:tc>
          <w:tcPr>
            <w:tcW w:w="2972" w:type="dxa"/>
          </w:tcPr>
          <w:p w14:paraId="0C3A78F8" w14:textId="27BC4C37" w:rsidR="00AD75C9" w:rsidRPr="00DA0BDA" w:rsidRDefault="00AD75C9" w:rsidP="00AD75C9">
            <w:pPr>
              <w:rPr>
                <w:rFonts w:ascii="Arial" w:hAnsi="Arial" w:cs="Arial"/>
              </w:rPr>
            </w:pPr>
            <w:r w:rsidRPr="00DA0BDA">
              <w:rPr>
                <w:rFonts w:ascii="Arial" w:hAnsi="Arial" w:cs="Arial"/>
              </w:rPr>
              <w:t>Gender Pay Gap</w:t>
            </w:r>
          </w:p>
        </w:tc>
        <w:tc>
          <w:tcPr>
            <w:tcW w:w="1559" w:type="dxa"/>
          </w:tcPr>
          <w:p w14:paraId="3A3F72DF" w14:textId="24F59EA9" w:rsidR="00AD75C9" w:rsidRPr="00DA0BDA" w:rsidRDefault="00AD75C9" w:rsidP="00AD75C9">
            <w:pPr>
              <w:rPr>
                <w:rFonts w:ascii="Arial" w:hAnsi="Arial" w:cs="Arial"/>
              </w:rPr>
            </w:pPr>
            <w:r w:rsidRPr="00DA0BDA">
              <w:rPr>
                <w:rFonts w:ascii="Arial" w:hAnsi="Arial" w:cs="Arial"/>
              </w:rPr>
              <w:t>31 March 2020</w:t>
            </w:r>
          </w:p>
        </w:tc>
        <w:tc>
          <w:tcPr>
            <w:tcW w:w="1418" w:type="dxa"/>
          </w:tcPr>
          <w:p w14:paraId="2F26B85E" w14:textId="2B3A5FCC" w:rsidR="00AD75C9" w:rsidRPr="00DA0BDA" w:rsidRDefault="00AD75C9" w:rsidP="00AD75C9">
            <w:pPr>
              <w:rPr>
                <w:rFonts w:ascii="Arial" w:hAnsi="Arial" w:cs="Arial"/>
              </w:rPr>
            </w:pPr>
            <w:r w:rsidRPr="00DA0BDA">
              <w:rPr>
                <w:rFonts w:ascii="Arial" w:hAnsi="Arial" w:cs="Arial"/>
              </w:rPr>
              <w:t>31 March 2021</w:t>
            </w:r>
          </w:p>
        </w:tc>
        <w:tc>
          <w:tcPr>
            <w:tcW w:w="1559" w:type="dxa"/>
          </w:tcPr>
          <w:p w14:paraId="7B7BC271" w14:textId="6176F24D" w:rsidR="00AD75C9" w:rsidRPr="00DA0BDA" w:rsidRDefault="00AD75C9" w:rsidP="00AD75C9">
            <w:pPr>
              <w:rPr>
                <w:rFonts w:ascii="Arial" w:hAnsi="Arial" w:cs="Arial"/>
              </w:rPr>
            </w:pPr>
            <w:r w:rsidRPr="00DA0BDA">
              <w:rPr>
                <w:rFonts w:ascii="Arial" w:hAnsi="Arial" w:cs="Arial"/>
              </w:rPr>
              <w:t>31 March 2022</w:t>
            </w:r>
          </w:p>
        </w:tc>
        <w:tc>
          <w:tcPr>
            <w:tcW w:w="1508" w:type="dxa"/>
          </w:tcPr>
          <w:p w14:paraId="55DF5027" w14:textId="52417AF2" w:rsidR="00AD75C9" w:rsidRPr="00DA0BDA" w:rsidRDefault="00AD75C9" w:rsidP="00AD75C9">
            <w:pPr>
              <w:rPr>
                <w:rFonts w:ascii="Arial" w:hAnsi="Arial" w:cs="Arial"/>
              </w:rPr>
            </w:pPr>
            <w:r w:rsidRPr="00DA0BDA">
              <w:rPr>
                <w:rFonts w:ascii="Arial" w:hAnsi="Arial" w:cs="Arial"/>
              </w:rPr>
              <w:t>31 March 2023</w:t>
            </w:r>
          </w:p>
        </w:tc>
      </w:tr>
      <w:tr w:rsidR="003A676C" w:rsidRPr="00DA0BDA" w14:paraId="33FD443D" w14:textId="77777777" w:rsidTr="007B699A">
        <w:tc>
          <w:tcPr>
            <w:tcW w:w="2972" w:type="dxa"/>
          </w:tcPr>
          <w:p w14:paraId="314D9C8A" w14:textId="76CDACC3" w:rsidR="003A676C" w:rsidRPr="00DA0BDA" w:rsidRDefault="007B371F" w:rsidP="00AA63A9">
            <w:pPr>
              <w:rPr>
                <w:rFonts w:ascii="Arial" w:hAnsi="Arial" w:cs="Arial"/>
              </w:rPr>
            </w:pPr>
            <w:r w:rsidRPr="00DA0BDA">
              <w:rPr>
                <w:rFonts w:ascii="Arial" w:hAnsi="Arial" w:cs="Arial"/>
              </w:rPr>
              <w:t>Mean gender pay gap</w:t>
            </w:r>
          </w:p>
        </w:tc>
        <w:tc>
          <w:tcPr>
            <w:tcW w:w="1559" w:type="dxa"/>
          </w:tcPr>
          <w:p w14:paraId="097B1E19" w14:textId="578E16D4" w:rsidR="003A676C" w:rsidRPr="00DA0BDA" w:rsidRDefault="00AD75C9" w:rsidP="00AA63A9">
            <w:pPr>
              <w:rPr>
                <w:rFonts w:ascii="Arial" w:hAnsi="Arial" w:cs="Arial"/>
              </w:rPr>
            </w:pPr>
            <w:r w:rsidRPr="00DA0BDA">
              <w:rPr>
                <w:rFonts w:ascii="Arial" w:hAnsi="Arial" w:cs="Arial"/>
              </w:rPr>
              <w:t>7.3%</w:t>
            </w:r>
          </w:p>
        </w:tc>
        <w:tc>
          <w:tcPr>
            <w:tcW w:w="1418" w:type="dxa"/>
          </w:tcPr>
          <w:p w14:paraId="533E4EE4" w14:textId="5E1CCF0C" w:rsidR="003A676C" w:rsidRPr="00DA0BDA" w:rsidRDefault="00AD75C9" w:rsidP="00AA63A9">
            <w:pPr>
              <w:rPr>
                <w:rFonts w:ascii="Arial" w:hAnsi="Arial" w:cs="Arial"/>
              </w:rPr>
            </w:pPr>
            <w:r w:rsidRPr="00DA0BDA">
              <w:rPr>
                <w:rFonts w:ascii="Arial" w:hAnsi="Arial" w:cs="Arial"/>
              </w:rPr>
              <w:t>6.5%</w:t>
            </w:r>
          </w:p>
        </w:tc>
        <w:tc>
          <w:tcPr>
            <w:tcW w:w="1559" w:type="dxa"/>
          </w:tcPr>
          <w:p w14:paraId="1865684F" w14:textId="34D91250" w:rsidR="003A676C" w:rsidRPr="00DA0BDA" w:rsidRDefault="00AD75C9" w:rsidP="00AA63A9">
            <w:pPr>
              <w:rPr>
                <w:rFonts w:ascii="Arial" w:hAnsi="Arial" w:cs="Arial"/>
              </w:rPr>
            </w:pPr>
            <w:r w:rsidRPr="00DA0BDA">
              <w:rPr>
                <w:rFonts w:ascii="Arial" w:hAnsi="Arial" w:cs="Arial"/>
              </w:rPr>
              <w:t>5.6%</w:t>
            </w:r>
          </w:p>
        </w:tc>
        <w:tc>
          <w:tcPr>
            <w:tcW w:w="1508" w:type="dxa"/>
          </w:tcPr>
          <w:p w14:paraId="055F4C42" w14:textId="7A798D78" w:rsidR="003A676C" w:rsidRPr="00DA0BDA" w:rsidRDefault="00171F42" w:rsidP="00AA63A9">
            <w:pPr>
              <w:rPr>
                <w:rFonts w:ascii="Arial" w:hAnsi="Arial" w:cs="Arial"/>
              </w:rPr>
            </w:pPr>
            <w:r w:rsidRPr="00DA0BDA">
              <w:rPr>
                <w:rFonts w:ascii="Arial" w:hAnsi="Arial" w:cs="Arial"/>
              </w:rPr>
              <w:t>5.9%</w:t>
            </w:r>
          </w:p>
        </w:tc>
      </w:tr>
      <w:tr w:rsidR="003A676C" w:rsidRPr="00DA0BDA" w14:paraId="56C7712C" w14:textId="77777777" w:rsidTr="007B699A">
        <w:tc>
          <w:tcPr>
            <w:tcW w:w="2972" w:type="dxa"/>
          </w:tcPr>
          <w:p w14:paraId="162F9DD9" w14:textId="5DA0D65E" w:rsidR="003A676C" w:rsidRPr="00DA0BDA" w:rsidRDefault="007B371F" w:rsidP="00AA63A9">
            <w:pPr>
              <w:rPr>
                <w:rFonts w:ascii="Arial" w:hAnsi="Arial" w:cs="Arial"/>
              </w:rPr>
            </w:pPr>
            <w:r w:rsidRPr="00DA0BDA">
              <w:rPr>
                <w:rFonts w:ascii="Arial" w:hAnsi="Arial" w:cs="Arial"/>
              </w:rPr>
              <w:t>Median gender pay gap</w:t>
            </w:r>
          </w:p>
        </w:tc>
        <w:tc>
          <w:tcPr>
            <w:tcW w:w="1559" w:type="dxa"/>
          </w:tcPr>
          <w:p w14:paraId="3BC73E76" w14:textId="07F16AB5" w:rsidR="003A676C" w:rsidRPr="00DA0BDA" w:rsidRDefault="00171F42" w:rsidP="00AA63A9">
            <w:pPr>
              <w:rPr>
                <w:rFonts w:ascii="Arial" w:hAnsi="Arial" w:cs="Arial"/>
              </w:rPr>
            </w:pPr>
            <w:r w:rsidRPr="00DA0BDA">
              <w:rPr>
                <w:rFonts w:ascii="Arial" w:hAnsi="Arial" w:cs="Arial"/>
              </w:rPr>
              <w:t>5.7%</w:t>
            </w:r>
          </w:p>
        </w:tc>
        <w:tc>
          <w:tcPr>
            <w:tcW w:w="1418" w:type="dxa"/>
          </w:tcPr>
          <w:p w14:paraId="65B40A49" w14:textId="56DF20AF" w:rsidR="003A676C" w:rsidRPr="00DA0BDA" w:rsidRDefault="00171F42" w:rsidP="00AA63A9">
            <w:pPr>
              <w:rPr>
                <w:rFonts w:ascii="Arial" w:hAnsi="Arial" w:cs="Arial"/>
              </w:rPr>
            </w:pPr>
            <w:r w:rsidRPr="00DA0BDA">
              <w:rPr>
                <w:rFonts w:ascii="Arial" w:hAnsi="Arial" w:cs="Arial"/>
              </w:rPr>
              <w:t>4.0%</w:t>
            </w:r>
          </w:p>
        </w:tc>
        <w:tc>
          <w:tcPr>
            <w:tcW w:w="1559" w:type="dxa"/>
          </w:tcPr>
          <w:p w14:paraId="46FB6F0E" w14:textId="23C16D22" w:rsidR="003A676C" w:rsidRPr="00DA0BDA" w:rsidRDefault="00171F42" w:rsidP="00AA63A9">
            <w:pPr>
              <w:rPr>
                <w:rFonts w:ascii="Arial" w:hAnsi="Arial" w:cs="Arial"/>
              </w:rPr>
            </w:pPr>
            <w:r w:rsidRPr="00DA0BDA">
              <w:rPr>
                <w:rFonts w:ascii="Arial" w:hAnsi="Arial" w:cs="Arial"/>
              </w:rPr>
              <w:t>4.1%</w:t>
            </w:r>
          </w:p>
        </w:tc>
        <w:tc>
          <w:tcPr>
            <w:tcW w:w="1508" w:type="dxa"/>
          </w:tcPr>
          <w:p w14:paraId="36E05270" w14:textId="1386D4C9" w:rsidR="003A676C" w:rsidRPr="00DA0BDA" w:rsidRDefault="00DF689C" w:rsidP="00AA63A9">
            <w:pPr>
              <w:rPr>
                <w:rFonts w:ascii="Arial" w:hAnsi="Arial" w:cs="Arial"/>
              </w:rPr>
            </w:pPr>
            <w:r w:rsidRPr="00DA0BDA">
              <w:rPr>
                <w:rFonts w:ascii="Arial" w:hAnsi="Arial" w:cs="Arial"/>
              </w:rPr>
              <w:t>4.7%</w:t>
            </w:r>
          </w:p>
        </w:tc>
      </w:tr>
      <w:tr w:rsidR="000746C2" w:rsidRPr="00DA0BDA" w14:paraId="067D5950" w14:textId="77777777" w:rsidTr="007B699A">
        <w:tc>
          <w:tcPr>
            <w:tcW w:w="2972" w:type="dxa"/>
          </w:tcPr>
          <w:p w14:paraId="77373E29" w14:textId="2DF8B3F9" w:rsidR="000746C2" w:rsidRPr="00DA0BDA" w:rsidRDefault="000746C2" w:rsidP="00AA63A9">
            <w:pPr>
              <w:rPr>
                <w:rFonts w:ascii="Arial" w:hAnsi="Arial" w:cs="Arial"/>
              </w:rPr>
            </w:pPr>
            <w:r w:rsidRPr="00DA0BDA">
              <w:rPr>
                <w:rFonts w:ascii="Arial" w:hAnsi="Arial" w:cs="Arial"/>
              </w:rPr>
              <w:t>Mean bonus</w:t>
            </w:r>
            <w:r w:rsidR="00F01C08" w:rsidRPr="00DA0BDA">
              <w:rPr>
                <w:rFonts w:ascii="Arial" w:hAnsi="Arial" w:cs="Arial"/>
              </w:rPr>
              <w:t xml:space="preserve"> gender pay gap</w:t>
            </w:r>
          </w:p>
        </w:tc>
        <w:tc>
          <w:tcPr>
            <w:tcW w:w="1559" w:type="dxa"/>
          </w:tcPr>
          <w:p w14:paraId="1D58B238" w14:textId="630A04F8" w:rsidR="000746C2" w:rsidRPr="00DA0BDA" w:rsidRDefault="00E9547E" w:rsidP="00AA63A9">
            <w:pPr>
              <w:rPr>
                <w:rFonts w:ascii="Arial" w:hAnsi="Arial" w:cs="Arial"/>
              </w:rPr>
            </w:pPr>
            <w:r w:rsidRPr="00DA0BDA">
              <w:rPr>
                <w:rFonts w:ascii="Arial" w:hAnsi="Arial" w:cs="Arial"/>
              </w:rPr>
              <w:t>6.9%</w:t>
            </w:r>
          </w:p>
        </w:tc>
        <w:tc>
          <w:tcPr>
            <w:tcW w:w="1418" w:type="dxa"/>
          </w:tcPr>
          <w:p w14:paraId="6EB9C39E" w14:textId="6A39242B" w:rsidR="000746C2" w:rsidRPr="00DA0BDA" w:rsidRDefault="00E9547E" w:rsidP="00AA63A9">
            <w:pPr>
              <w:rPr>
                <w:rFonts w:ascii="Arial" w:hAnsi="Arial" w:cs="Arial"/>
              </w:rPr>
            </w:pPr>
            <w:r w:rsidRPr="00DA0BDA">
              <w:rPr>
                <w:rFonts w:ascii="Arial" w:hAnsi="Arial" w:cs="Arial"/>
              </w:rPr>
              <w:t>4.8%</w:t>
            </w:r>
          </w:p>
        </w:tc>
        <w:tc>
          <w:tcPr>
            <w:tcW w:w="1559" w:type="dxa"/>
          </w:tcPr>
          <w:p w14:paraId="679263DB" w14:textId="3571BE20" w:rsidR="000746C2" w:rsidRPr="00DA0BDA" w:rsidRDefault="00E9547E" w:rsidP="00AA63A9">
            <w:pPr>
              <w:rPr>
                <w:rFonts w:ascii="Arial" w:hAnsi="Arial" w:cs="Arial"/>
              </w:rPr>
            </w:pPr>
            <w:r w:rsidRPr="00DA0BDA">
              <w:rPr>
                <w:rFonts w:ascii="Arial" w:hAnsi="Arial" w:cs="Arial"/>
              </w:rPr>
              <w:t>2.5%</w:t>
            </w:r>
          </w:p>
        </w:tc>
        <w:tc>
          <w:tcPr>
            <w:tcW w:w="1508" w:type="dxa"/>
          </w:tcPr>
          <w:p w14:paraId="760DB248" w14:textId="30D8220D" w:rsidR="000746C2" w:rsidRPr="00DA0BDA" w:rsidRDefault="00CB0EBC" w:rsidP="00AA63A9">
            <w:pPr>
              <w:rPr>
                <w:rFonts w:ascii="Arial" w:hAnsi="Arial" w:cs="Arial"/>
              </w:rPr>
            </w:pPr>
            <w:r w:rsidRPr="00DA0BDA">
              <w:rPr>
                <w:rFonts w:ascii="Arial" w:hAnsi="Arial" w:cs="Arial"/>
              </w:rPr>
              <w:t>5.40%</w:t>
            </w:r>
          </w:p>
        </w:tc>
      </w:tr>
      <w:tr w:rsidR="000746C2" w:rsidRPr="00DA0BDA" w14:paraId="3C98919F" w14:textId="77777777" w:rsidTr="007B699A">
        <w:tc>
          <w:tcPr>
            <w:tcW w:w="2972" w:type="dxa"/>
          </w:tcPr>
          <w:p w14:paraId="01B6ACF3" w14:textId="3F41ABFA" w:rsidR="000746C2" w:rsidRPr="00DA0BDA" w:rsidRDefault="00F01C08" w:rsidP="00AA63A9">
            <w:pPr>
              <w:rPr>
                <w:rFonts w:ascii="Arial" w:hAnsi="Arial" w:cs="Arial"/>
              </w:rPr>
            </w:pPr>
            <w:r w:rsidRPr="00DA0BDA">
              <w:rPr>
                <w:rFonts w:ascii="Arial" w:hAnsi="Arial" w:cs="Arial"/>
              </w:rPr>
              <w:t>Median bonus gender pay gap</w:t>
            </w:r>
          </w:p>
        </w:tc>
        <w:tc>
          <w:tcPr>
            <w:tcW w:w="1559" w:type="dxa"/>
          </w:tcPr>
          <w:p w14:paraId="5815A418" w14:textId="314848FE" w:rsidR="000746C2" w:rsidRPr="00DA0BDA" w:rsidRDefault="00E9547E" w:rsidP="00AA63A9">
            <w:pPr>
              <w:rPr>
                <w:rFonts w:ascii="Arial" w:hAnsi="Arial" w:cs="Arial"/>
              </w:rPr>
            </w:pPr>
            <w:r w:rsidRPr="00DA0BDA">
              <w:rPr>
                <w:rFonts w:ascii="Arial" w:hAnsi="Arial" w:cs="Arial"/>
              </w:rPr>
              <w:t>1.3%</w:t>
            </w:r>
          </w:p>
        </w:tc>
        <w:tc>
          <w:tcPr>
            <w:tcW w:w="1418" w:type="dxa"/>
          </w:tcPr>
          <w:p w14:paraId="514500F1" w14:textId="6E651853" w:rsidR="000746C2" w:rsidRPr="00DA0BDA" w:rsidRDefault="00E9547E" w:rsidP="00AA63A9">
            <w:pPr>
              <w:rPr>
                <w:rFonts w:ascii="Arial" w:hAnsi="Arial" w:cs="Arial"/>
              </w:rPr>
            </w:pPr>
            <w:r w:rsidRPr="00DA0BDA">
              <w:rPr>
                <w:rFonts w:ascii="Arial" w:hAnsi="Arial" w:cs="Arial"/>
              </w:rPr>
              <w:t>1.1%</w:t>
            </w:r>
          </w:p>
        </w:tc>
        <w:tc>
          <w:tcPr>
            <w:tcW w:w="1559" w:type="dxa"/>
          </w:tcPr>
          <w:p w14:paraId="5F41EE52" w14:textId="56F50C69" w:rsidR="000746C2" w:rsidRPr="00DA0BDA" w:rsidRDefault="00E9547E" w:rsidP="00AA63A9">
            <w:pPr>
              <w:rPr>
                <w:rFonts w:ascii="Arial" w:hAnsi="Arial" w:cs="Arial"/>
              </w:rPr>
            </w:pPr>
            <w:r w:rsidRPr="00DA0BDA">
              <w:rPr>
                <w:rFonts w:ascii="Arial" w:hAnsi="Arial" w:cs="Arial"/>
              </w:rPr>
              <w:t>-0.5%</w:t>
            </w:r>
          </w:p>
        </w:tc>
        <w:tc>
          <w:tcPr>
            <w:tcW w:w="1508" w:type="dxa"/>
          </w:tcPr>
          <w:p w14:paraId="7F60B8A5" w14:textId="0EE2F0B5" w:rsidR="000746C2" w:rsidRPr="00DA0BDA" w:rsidRDefault="00CB0EBC" w:rsidP="00AA63A9">
            <w:pPr>
              <w:rPr>
                <w:rFonts w:ascii="Arial" w:hAnsi="Arial" w:cs="Arial"/>
              </w:rPr>
            </w:pPr>
            <w:r w:rsidRPr="00DA0BDA">
              <w:rPr>
                <w:rFonts w:ascii="Arial" w:hAnsi="Arial" w:cs="Arial"/>
              </w:rPr>
              <w:t>1.30%</w:t>
            </w:r>
          </w:p>
        </w:tc>
      </w:tr>
    </w:tbl>
    <w:p w14:paraId="00878257" w14:textId="2F864BFB" w:rsidR="00FE276B" w:rsidRPr="00DA0BDA" w:rsidRDefault="00DF689C" w:rsidP="00FE276B">
      <w:pPr>
        <w:rPr>
          <w:rFonts w:ascii="Arial" w:hAnsi="Arial" w:cs="Arial"/>
        </w:rPr>
      </w:pPr>
      <w:r w:rsidRPr="00DA0BDA">
        <w:rPr>
          <w:rFonts w:ascii="Arial" w:hAnsi="Arial" w:cs="Arial"/>
        </w:rPr>
        <w:t>(Note: Approach changed in 2020 to align to Civil Service method using ACSES Data)</w:t>
      </w:r>
    </w:p>
    <w:p w14:paraId="7466E6DC" w14:textId="574E3747" w:rsidR="002212DD" w:rsidRPr="00DA0BDA" w:rsidRDefault="002212DD">
      <w:pPr>
        <w:rPr>
          <w:rFonts w:ascii="Arial" w:eastAsiaTheme="majorEastAsia" w:hAnsi="Arial" w:cs="Arial"/>
          <w:color w:val="1F3763" w:themeColor="accent1" w:themeShade="7F"/>
        </w:rPr>
      </w:pPr>
    </w:p>
    <w:p w14:paraId="06B0ECAC" w14:textId="77777777" w:rsidR="004932C5" w:rsidRDefault="004932C5">
      <w:pPr>
        <w:rPr>
          <w:rFonts w:asciiTheme="majorHAnsi" w:eastAsiaTheme="majorEastAsia" w:hAnsiTheme="majorHAnsi" w:cstheme="majorBidi"/>
          <w:color w:val="2F5496" w:themeColor="accent1" w:themeShade="BF"/>
          <w:sz w:val="26"/>
          <w:szCs w:val="26"/>
        </w:rPr>
      </w:pPr>
      <w:r>
        <w:br w:type="page"/>
      </w:r>
    </w:p>
    <w:p w14:paraId="4E847600" w14:textId="3F6E549D" w:rsidR="00A56876" w:rsidRDefault="004F7BC4" w:rsidP="004932C5">
      <w:pPr>
        <w:pStyle w:val="Heading2"/>
        <w:rPr>
          <w:rFonts w:ascii="Arial" w:hAnsi="Arial" w:cs="Arial"/>
        </w:rPr>
      </w:pPr>
      <w:bookmarkStart w:id="14" w:name="_Toc1474746427"/>
      <w:r w:rsidRPr="004932C5">
        <w:rPr>
          <w:rFonts w:ascii="Arial" w:hAnsi="Arial" w:cs="Arial"/>
        </w:rPr>
        <w:lastRenderedPageBreak/>
        <w:t xml:space="preserve">Work </w:t>
      </w:r>
      <w:r w:rsidR="008A46F8" w:rsidRPr="004932C5">
        <w:rPr>
          <w:rFonts w:ascii="Arial" w:hAnsi="Arial" w:cs="Arial"/>
        </w:rPr>
        <w:t xml:space="preserve">we are </w:t>
      </w:r>
      <w:r w:rsidR="008E15FC" w:rsidRPr="004932C5">
        <w:rPr>
          <w:rFonts w:ascii="Arial" w:hAnsi="Arial" w:cs="Arial"/>
        </w:rPr>
        <w:t>under</w:t>
      </w:r>
      <w:r w:rsidR="008A46F8" w:rsidRPr="004932C5">
        <w:rPr>
          <w:rFonts w:ascii="Arial" w:hAnsi="Arial" w:cs="Arial"/>
        </w:rPr>
        <w:t xml:space="preserve">taking to reduce our </w:t>
      </w:r>
      <w:r w:rsidR="007735B4" w:rsidRPr="004932C5">
        <w:rPr>
          <w:rFonts w:ascii="Arial" w:hAnsi="Arial" w:cs="Arial"/>
        </w:rPr>
        <w:t xml:space="preserve">gender </w:t>
      </w:r>
      <w:r w:rsidR="008A46F8" w:rsidRPr="004932C5">
        <w:rPr>
          <w:rFonts w:ascii="Arial" w:hAnsi="Arial" w:cs="Arial"/>
        </w:rPr>
        <w:t>pay gap</w:t>
      </w:r>
      <w:bookmarkEnd w:id="14"/>
    </w:p>
    <w:p w14:paraId="439224A6" w14:textId="77777777" w:rsidR="004932C5" w:rsidRPr="004932C5" w:rsidRDefault="004932C5" w:rsidP="004932C5"/>
    <w:p w14:paraId="00F8E4E6" w14:textId="77777777" w:rsidR="00284BD3" w:rsidRPr="004932C5" w:rsidRDefault="00255E7D" w:rsidP="004932C5">
      <w:pPr>
        <w:rPr>
          <w:rFonts w:ascii="Arial" w:hAnsi="Arial" w:cs="Arial"/>
        </w:rPr>
      </w:pPr>
      <w:r w:rsidRPr="004932C5">
        <w:rPr>
          <w:rFonts w:ascii="Arial" w:hAnsi="Arial" w:cs="Arial"/>
        </w:rPr>
        <w:t xml:space="preserve">We recognise that the factors behind the gender pay gap is complex and no single solution will deliver the equality we strive for. However, we believe that continuing to deliver and embed the actions as identified in our People Strategy and Equality, Diversity and Inclusion Action Plan will drive us forward. Some of our key focus areas in 2023 have been: </w:t>
      </w:r>
    </w:p>
    <w:p w14:paraId="1A96CFFD" w14:textId="77777777" w:rsidR="00284BD3" w:rsidRPr="00DA0BDA" w:rsidRDefault="00255E7D" w:rsidP="00721735">
      <w:pPr>
        <w:pStyle w:val="Heading3"/>
        <w:rPr>
          <w:rFonts w:ascii="Arial" w:hAnsi="Arial" w:cs="Arial"/>
        </w:rPr>
      </w:pPr>
      <w:bookmarkStart w:id="15" w:name="_Toc730275830"/>
      <w:r w:rsidRPr="00DA0BDA">
        <w:rPr>
          <w:rFonts w:ascii="Arial" w:hAnsi="Arial" w:cs="Arial"/>
        </w:rPr>
        <w:t>Strategic Actions</w:t>
      </w:r>
      <w:bookmarkEnd w:id="15"/>
      <w:r w:rsidRPr="00DA0BDA">
        <w:rPr>
          <w:rFonts w:ascii="Arial" w:hAnsi="Arial" w:cs="Arial"/>
        </w:rPr>
        <w:t xml:space="preserve"> </w:t>
      </w:r>
    </w:p>
    <w:p w14:paraId="2994E5CB" w14:textId="77777777" w:rsidR="00284BD3" w:rsidRPr="00DA0BDA" w:rsidRDefault="00255E7D" w:rsidP="00721735">
      <w:pPr>
        <w:rPr>
          <w:rFonts w:ascii="Arial" w:hAnsi="Arial" w:cs="Arial"/>
        </w:rPr>
      </w:pPr>
      <w:r w:rsidRPr="00DA0BDA">
        <w:rPr>
          <w:rFonts w:ascii="Arial" w:hAnsi="Arial" w:cs="Arial"/>
        </w:rPr>
        <w:t xml:space="preserve">The Met Office Strategy sets out three anchors that are the main themes that allow us to deliver on our purpose. Each of our anchors has a number of strategic actions, these are key short-tomedium term priority activities that are crucial to the future success of the Met Office. In 2023 one of our strategic people actions focused on: </w:t>
      </w:r>
    </w:p>
    <w:p w14:paraId="24CDF699" w14:textId="77777777" w:rsidR="00B97637" w:rsidRPr="00B97637" w:rsidRDefault="00255E7D" w:rsidP="00B97637">
      <w:pPr>
        <w:pStyle w:val="Heading3"/>
        <w:rPr>
          <w:rFonts w:ascii="Arial" w:hAnsi="Arial" w:cs="Arial"/>
        </w:rPr>
      </w:pPr>
      <w:bookmarkStart w:id="16" w:name="_Toc789591889"/>
      <w:r w:rsidRPr="00B97637">
        <w:rPr>
          <w:rFonts w:ascii="Arial" w:hAnsi="Arial" w:cs="Arial"/>
        </w:rPr>
        <w:t>Creating a great place to work</w:t>
      </w:r>
      <w:bookmarkEnd w:id="16"/>
      <w:r w:rsidRPr="00B97637">
        <w:rPr>
          <w:rFonts w:ascii="Arial" w:hAnsi="Arial" w:cs="Arial"/>
        </w:rPr>
        <w:t xml:space="preserve"> </w:t>
      </w:r>
    </w:p>
    <w:p w14:paraId="4F43E184" w14:textId="193BC3A9" w:rsidR="00284BD3" w:rsidRPr="00DA0BDA" w:rsidRDefault="00255E7D" w:rsidP="00721735">
      <w:pPr>
        <w:rPr>
          <w:rFonts w:ascii="Arial" w:hAnsi="Arial" w:cs="Arial"/>
        </w:rPr>
      </w:pPr>
      <w:r w:rsidRPr="00DA0BDA">
        <w:rPr>
          <w:rFonts w:ascii="Arial" w:hAnsi="Arial" w:cs="Arial"/>
        </w:rPr>
        <w:t xml:space="preserve">This strategic action has focused on developing a strong employee value proposition (EVP), as this can play a key role in attracting, engaging, and retaining employees. Having a strong EVP means that we can clearly articulate the financial and non-financial benefits as part of our wider employer brand. We know that the marketplace we are operating in is increasingly competitive so understanding and improving our employee offer is crucial. </w:t>
      </w:r>
    </w:p>
    <w:p w14:paraId="33FABC8C" w14:textId="77777777" w:rsidR="00502CF6" w:rsidRPr="00DA0BDA" w:rsidRDefault="00255E7D" w:rsidP="00721735">
      <w:pPr>
        <w:rPr>
          <w:rFonts w:ascii="Arial" w:hAnsi="Arial" w:cs="Arial"/>
        </w:rPr>
      </w:pPr>
      <w:r w:rsidRPr="00DA0BDA">
        <w:rPr>
          <w:rFonts w:ascii="Arial" w:hAnsi="Arial" w:cs="Arial"/>
        </w:rPr>
        <w:t xml:space="preserve">As part of developing our EVP, we have undertaken research to understand what makes a strong employee value proposition and benchmarked ourselves with other organisations through the Great Place to Work Trust Index survey. Following the benchmarking, Great Place to Work recognised us on their list of the UK Best Workplaces for Tech 2023 and UK Best Workplaces for Women 2023. </w:t>
      </w:r>
    </w:p>
    <w:p w14:paraId="2A881C3D" w14:textId="77777777" w:rsidR="00502CF6" w:rsidRPr="00DA0BDA" w:rsidRDefault="00255E7D" w:rsidP="00721735">
      <w:pPr>
        <w:rPr>
          <w:rFonts w:ascii="Arial" w:hAnsi="Arial" w:cs="Arial"/>
        </w:rPr>
      </w:pPr>
      <w:r w:rsidRPr="00DA0BDA">
        <w:rPr>
          <w:rFonts w:ascii="Arial" w:hAnsi="Arial" w:cs="Arial"/>
        </w:rPr>
        <w:t xml:space="preserve">The survey helped us to gain a better understanding of how people feel about working at the Met Office, with the insights being used to develop an action plan. The action plan identifies six key areas we want to focus on over the next 18-24 months and include reward and recognition, benefits, flexible working, culture and wellbeing. </w:t>
      </w:r>
    </w:p>
    <w:p w14:paraId="78A1B231" w14:textId="77777777" w:rsidR="00502CF6" w:rsidRPr="00DA0BDA" w:rsidRDefault="00255E7D" w:rsidP="00721735">
      <w:pPr>
        <w:pStyle w:val="Heading3"/>
        <w:rPr>
          <w:rFonts w:ascii="Arial" w:hAnsi="Arial" w:cs="Arial"/>
        </w:rPr>
      </w:pPr>
      <w:bookmarkStart w:id="17" w:name="_Toc361440984"/>
      <w:r w:rsidRPr="00DA0BDA">
        <w:rPr>
          <w:rFonts w:ascii="Arial" w:hAnsi="Arial" w:cs="Arial"/>
        </w:rPr>
        <w:t>Evolving our Early Careers</w:t>
      </w:r>
      <w:bookmarkEnd w:id="17"/>
      <w:r w:rsidRPr="00DA0BDA">
        <w:rPr>
          <w:rFonts w:ascii="Arial" w:hAnsi="Arial" w:cs="Arial"/>
        </w:rPr>
        <w:t xml:space="preserve"> </w:t>
      </w:r>
    </w:p>
    <w:p w14:paraId="0A10DC34" w14:textId="77777777" w:rsidR="006D0873" w:rsidRPr="00DA0BDA" w:rsidRDefault="00255E7D" w:rsidP="00721735">
      <w:pPr>
        <w:rPr>
          <w:rFonts w:ascii="Arial" w:hAnsi="Arial" w:cs="Arial"/>
        </w:rPr>
      </w:pPr>
      <w:r w:rsidRPr="00DA0BDA">
        <w:rPr>
          <w:rFonts w:ascii="Arial" w:hAnsi="Arial" w:cs="Arial"/>
        </w:rPr>
        <w:t xml:space="preserve">Over the last two years we have been evolving our Early Careers Strategy to cover a range of programmes for apprenticeships, graduates, industrial placements, and summer placements. This strategy aligns to our corporate and equality, diversity and inclusion strategies and links with Education Outreach and the Met Office Academic Partnerships, building on our past success but also ensuring we remain flexible to our future skills requirements. The range of programmes are designed to offer long term development rather than fill immediate resource gaps. Our early careers programmes have better representation of women than the organisation as a whole at 57% men to 43% women, although new joiners to our early careers programmes in year were 61% in favour of men whereas we have previously achieved more balanced recruitment. All stages of our recruitment processes are monitored and our EDI Resourcing Action Plan seeks to progress our diversity, see below for more detail. </w:t>
      </w:r>
    </w:p>
    <w:p w14:paraId="79317218" w14:textId="77777777" w:rsidR="006D0873" w:rsidRPr="00DA0BDA" w:rsidRDefault="00255E7D" w:rsidP="00721735">
      <w:pPr>
        <w:rPr>
          <w:rFonts w:ascii="Arial" w:hAnsi="Arial" w:cs="Arial"/>
        </w:rPr>
      </w:pPr>
      <w:r w:rsidRPr="00DA0BDA">
        <w:rPr>
          <w:rFonts w:ascii="Arial" w:hAnsi="Arial" w:cs="Arial"/>
        </w:rPr>
        <w:t xml:space="preserve">As part of evolving our early careers, our Education Outreach Team revised their approach to work experience in 2023 and piloted ‘Forecasting your Future’ an innovative two-phased approach to work experience. This approach included offering an online work experience programme to young people aged 13-18, over 550 young people participated in this programme and over half of these participants were female. The programme also attracted young people from across the UK and included high numbers from a range of priority demographic groups that we have previously found challenging to engage with. </w:t>
      </w:r>
    </w:p>
    <w:p w14:paraId="39FE7BA2" w14:textId="77777777" w:rsidR="006D0873" w:rsidRPr="00DA0BDA" w:rsidRDefault="00255E7D" w:rsidP="00721735">
      <w:pPr>
        <w:pStyle w:val="Heading3"/>
        <w:rPr>
          <w:rFonts w:ascii="Arial" w:hAnsi="Arial" w:cs="Arial"/>
        </w:rPr>
      </w:pPr>
      <w:bookmarkStart w:id="18" w:name="_Toc720493261"/>
      <w:r w:rsidRPr="00DA0BDA">
        <w:rPr>
          <w:rFonts w:ascii="Arial" w:hAnsi="Arial" w:cs="Arial"/>
        </w:rPr>
        <w:lastRenderedPageBreak/>
        <w:t>Staff networks</w:t>
      </w:r>
      <w:bookmarkEnd w:id="18"/>
      <w:r w:rsidRPr="00DA0BDA">
        <w:rPr>
          <w:rFonts w:ascii="Arial" w:hAnsi="Arial" w:cs="Arial"/>
        </w:rPr>
        <w:t xml:space="preserve"> </w:t>
      </w:r>
    </w:p>
    <w:p w14:paraId="55A1135F" w14:textId="77777777" w:rsidR="00D55D1B" w:rsidRPr="00DA0BDA" w:rsidRDefault="00255E7D" w:rsidP="00721735">
      <w:pPr>
        <w:rPr>
          <w:rFonts w:ascii="Arial" w:hAnsi="Arial" w:cs="Arial"/>
        </w:rPr>
      </w:pPr>
      <w:r w:rsidRPr="00DA0BDA">
        <w:rPr>
          <w:rFonts w:ascii="Arial" w:hAnsi="Arial" w:cs="Arial"/>
        </w:rPr>
        <w:t xml:space="preserve">Staff Networks play an important part in creating and promoting an inclusive workplace both highlighting areas for improvements and areas of success. Our staff networks bring together employees with a shared characteristic or shared experience and are sponsored by members of senior and executive leadership teams. To raise awareness and encourage supportive menopause conversations, our Menopause Network have created a range of resources including line manager guidance to help managers support employees. The network also worked with us to sign the Civil Service Menopause Pledge confirming our commitment to support employees through workplace adjustments and flexible working. </w:t>
      </w:r>
    </w:p>
    <w:p w14:paraId="33C62D9D" w14:textId="77777777" w:rsidR="00D55D1B" w:rsidRPr="00DA0BDA" w:rsidRDefault="00255E7D" w:rsidP="00721735">
      <w:pPr>
        <w:rPr>
          <w:rFonts w:ascii="Arial" w:hAnsi="Arial" w:cs="Arial"/>
        </w:rPr>
      </w:pPr>
      <w:r w:rsidRPr="00DA0BDA">
        <w:rPr>
          <w:rFonts w:ascii="Arial" w:hAnsi="Arial" w:cs="Arial"/>
        </w:rPr>
        <w:t xml:space="preserve">Our Women’s Network worked with us to introduce period products, so to improve period dignity and alleviate anxieties employees face around periods, especially when at work. </w:t>
      </w:r>
    </w:p>
    <w:p w14:paraId="642A528F" w14:textId="77777777" w:rsidR="00D55D1B" w:rsidRPr="00DA0BDA" w:rsidRDefault="00255E7D" w:rsidP="00721735">
      <w:pPr>
        <w:rPr>
          <w:rFonts w:ascii="Arial" w:hAnsi="Arial" w:cs="Arial"/>
        </w:rPr>
      </w:pPr>
      <w:r w:rsidRPr="00DA0BDA">
        <w:rPr>
          <w:rFonts w:ascii="Arial" w:hAnsi="Arial" w:cs="Arial"/>
        </w:rPr>
        <w:t xml:space="preserve">As well as our formal staff networks, we have a number of informal networks including a network for New Starters and Early Careers, this supports new employees and those transitioning to new careers to settle into the Met office. The network runs regular networking events including ‘Hybrid Coffees’ where more experienced employees can meet new colleagues and promote their work and directorate. </w:t>
      </w:r>
    </w:p>
    <w:p w14:paraId="1EFBA369" w14:textId="77777777" w:rsidR="00D55D1B" w:rsidRPr="00DA0BDA" w:rsidRDefault="00255E7D" w:rsidP="00721735">
      <w:pPr>
        <w:pStyle w:val="Heading3"/>
        <w:rPr>
          <w:rFonts w:ascii="Arial" w:hAnsi="Arial" w:cs="Arial"/>
        </w:rPr>
      </w:pPr>
      <w:bookmarkStart w:id="19" w:name="_Toc1574586492"/>
      <w:r w:rsidRPr="00DA0BDA">
        <w:rPr>
          <w:rFonts w:ascii="Arial" w:hAnsi="Arial" w:cs="Arial"/>
        </w:rPr>
        <w:t>Equality, Diversity &amp; Inclusion (ED&amp;I) Resourcing Action Plan</w:t>
      </w:r>
      <w:bookmarkEnd w:id="19"/>
      <w:r w:rsidRPr="00DA0BDA">
        <w:rPr>
          <w:rFonts w:ascii="Arial" w:hAnsi="Arial" w:cs="Arial"/>
        </w:rPr>
        <w:t xml:space="preserve"> </w:t>
      </w:r>
    </w:p>
    <w:p w14:paraId="5F5CB129" w14:textId="77777777" w:rsidR="00721735" w:rsidRPr="00DA0BDA" w:rsidRDefault="00255E7D" w:rsidP="00721735">
      <w:pPr>
        <w:rPr>
          <w:rFonts w:ascii="Arial" w:hAnsi="Arial" w:cs="Arial"/>
        </w:rPr>
      </w:pPr>
      <w:r w:rsidRPr="00DA0BDA">
        <w:rPr>
          <w:rFonts w:ascii="Arial" w:hAnsi="Arial" w:cs="Arial"/>
        </w:rPr>
        <w:t xml:space="preserve">We have implemented an ED&amp;I Resourcing Action Plan, which focuses on increasing representation of under-represented groups at all levels. In 2021 we started to capture diversity data for all parts of our recruitment process, this enabled us to set a baseline to create the action plan. The action plan sets out clear, ambitious yet realistic annual targets so we can measure our progress in the key areas of ethnicity, gender and disability. Although increasing diversity continues to be a challenge, we are making steady progress and the quality of the data being gathered has allowed us to understand our position more fully and focus on specific areas. </w:t>
      </w:r>
    </w:p>
    <w:p w14:paraId="207F19BD" w14:textId="77777777" w:rsidR="00721735" w:rsidRPr="00DA0BDA" w:rsidRDefault="00255E7D" w:rsidP="00721735">
      <w:pPr>
        <w:pStyle w:val="Heading3"/>
        <w:rPr>
          <w:rFonts w:ascii="Arial" w:hAnsi="Arial" w:cs="Arial"/>
        </w:rPr>
      </w:pPr>
      <w:bookmarkStart w:id="20" w:name="_Toc1222518162"/>
      <w:r w:rsidRPr="00DA0BDA">
        <w:rPr>
          <w:rFonts w:ascii="Arial" w:hAnsi="Arial" w:cs="Arial"/>
        </w:rPr>
        <w:t>Reviewing our Equality, Diversity &amp; Inclusion Strategy and equality objectives</w:t>
      </w:r>
      <w:bookmarkEnd w:id="20"/>
    </w:p>
    <w:p w14:paraId="06C747B5" w14:textId="1ADE5A1F" w:rsidR="00721735" w:rsidRPr="00DA0BDA" w:rsidRDefault="00255E7D" w:rsidP="00721735">
      <w:pPr>
        <w:rPr>
          <w:rFonts w:ascii="Arial" w:hAnsi="Arial" w:cs="Arial"/>
        </w:rPr>
      </w:pPr>
      <w:r w:rsidRPr="00DA0BDA">
        <w:rPr>
          <w:rFonts w:ascii="Arial" w:hAnsi="Arial" w:cs="Arial"/>
        </w:rPr>
        <w:t>In 2020 we published our first Equality, Diversity and Inclusion Strategy, along with our equality objectives, both of these were supported by an ambitious programme of actions, we are now commencing work to review both our strategy and objectives. Data from this report plus insight from recent employee surveys will inform and shape our equality objectives for the next four years, which will be supported by an achievable action plan that will deliver change and support our aim to create a great place to work which values and welcomes different ideas, skills and experiences</w:t>
      </w:r>
      <w:r w:rsidR="00130A69">
        <w:rPr>
          <w:rFonts w:ascii="Arial" w:hAnsi="Arial" w:cs="Arial"/>
        </w:rPr>
        <w:t>.</w:t>
      </w:r>
    </w:p>
    <w:p w14:paraId="2607618A" w14:textId="77777777" w:rsidR="00721735" w:rsidRPr="00DA0BDA" w:rsidRDefault="00721735">
      <w:pPr>
        <w:rPr>
          <w:rFonts w:ascii="Arial" w:eastAsiaTheme="majorEastAsia" w:hAnsi="Arial" w:cs="Arial"/>
          <w:color w:val="1F3763" w:themeColor="accent1" w:themeShade="7F"/>
          <w:sz w:val="24"/>
          <w:szCs w:val="24"/>
        </w:rPr>
      </w:pPr>
      <w:r w:rsidRPr="00DA0BDA">
        <w:rPr>
          <w:rFonts w:ascii="Arial" w:hAnsi="Arial" w:cs="Arial"/>
        </w:rPr>
        <w:br w:type="page"/>
      </w:r>
    </w:p>
    <w:p w14:paraId="362411BA" w14:textId="59DA47F5" w:rsidR="007127FB" w:rsidRPr="00DA0BDA" w:rsidRDefault="007127FB" w:rsidP="5EC16B5E">
      <w:pPr>
        <w:pStyle w:val="Heading3"/>
        <w:rPr>
          <w:rFonts w:ascii="Arial" w:hAnsi="Arial" w:cs="Arial"/>
        </w:rPr>
      </w:pPr>
      <w:bookmarkStart w:id="21" w:name="_Toc906643567"/>
      <w:r w:rsidRPr="00DA0BDA">
        <w:rPr>
          <w:rFonts w:ascii="Arial" w:hAnsi="Arial" w:cs="Arial"/>
        </w:rPr>
        <w:lastRenderedPageBreak/>
        <w:t>Declaration</w:t>
      </w:r>
      <w:bookmarkEnd w:id="21"/>
    </w:p>
    <w:p w14:paraId="4FBAAA36" w14:textId="674DE135" w:rsidR="007127FB" w:rsidRPr="00DA0BDA" w:rsidRDefault="007127FB" w:rsidP="007127FB">
      <w:pPr>
        <w:rPr>
          <w:rFonts w:ascii="Arial" w:hAnsi="Arial" w:cs="Arial"/>
        </w:rPr>
      </w:pPr>
    </w:p>
    <w:p w14:paraId="7A9C231A" w14:textId="6838472D" w:rsidR="001A0237" w:rsidRPr="00DA0BDA" w:rsidRDefault="001A0237" w:rsidP="007127FB">
      <w:pPr>
        <w:rPr>
          <w:rFonts w:ascii="Arial" w:hAnsi="Arial" w:cs="Arial"/>
        </w:rPr>
      </w:pPr>
      <w:r w:rsidRPr="00DA0BDA">
        <w:rPr>
          <w:rFonts w:ascii="Arial" w:hAnsi="Arial" w:cs="Arial"/>
        </w:rPr>
        <w:t xml:space="preserve">Gender Pay Gap </w:t>
      </w:r>
    </w:p>
    <w:p w14:paraId="072D16E8" w14:textId="61DDEEA5" w:rsidR="007127FB" w:rsidRPr="00DA0BDA" w:rsidRDefault="007127FB" w:rsidP="007127FB">
      <w:pPr>
        <w:rPr>
          <w:rFonts w:ascii="Arial" w:hAnsi="Arial" w:cs="Arial"/>
        </w:rPr>
      </w:pPr>
      <w:r w:rsidRPr="00DA0BDA">
        <w:rPr>
          <w:rFonts w:ascii="Arial" w:hAnsi="Arial" w:cs="Arial"/>
        </w:rPr>
        <w:t>We confirm that the data reported</w:t>
      </w:r>
      <w:r w:rsidR="00325417" w:rsidRPr="00DA0BDA">
        <w:rPr>
          <w:rFonts w:ascii="Arial" w:hAnsi="Arial" w:cs="Arial"/>
        </w:rPr>
        <w:t xml:space="preserve"> for the Gender Pay Report</w:t>
      </w:r>
      <w:r w:rsidRPr="00DA0BDA">
        <w:rPr>
          <w:rFonts w:ascii="Arial" w:hAnsi="Arial" w:cs="Arial"/>
        </w:rPr>
        <w:t xml:space="preserve"> by the Met Office is accurate and has b</w:t>
      </w:r>
      <w:r w:rsidR="00325417" w:rsidRPr="00DA0BDA">
        <w:rPr>
          <w:rFonts w:ascii="Arial" w:hAnsi="Arial" w:cs="Arial"/>
        </w:rPr>
        <w:t xml:space="preserve">een calculated according to the requirement and </w:t>
      </w:r>
      <w:r w:rsidR="00B85BC0" w:rsidRPr="00DA0BDA">
        <w:rPr>
          <w:rFonts w:ascii="Arial" w:hAnsi="Arial" w:cs="Arial"/>
        </w:rPr>
        <w:t>methodology</w:t>
      </w:r>
      <w:r w:rsidR="00325417" w:rsidRPr="00DA0BDA">
        <w:rPr>
          <w:rFonts w:ascii="Arial" w:hAnsi="Arial" w:cs="Arial"/>
        </w:rPr>
        <w:t xml:space="preserve"> set out in the Equality Act 2010 (Specific Duties and Public Authorities) Regulations 2017.</w:t>
      </w:r>
    </w:p>
    <w:p w14:paraId="1D4135CB" w14:textId="41B2CC3F" w:rsidR="00325417" w:rsidRPr="00DA0BDA" w:rsidRDefault="00325417" w:rsidP="007127FB">
      <w:pPr>
        <w:rPr>
          <w:rFonts w:ascii="Arial" w:hAnsi="Arial" w:cs="Arial"/>
        </w:rPr>
      </w:pPr>
    </w:p>
    <w:p w14:paraId="6FB35AA5" w14:textId="77777777" w:rsidR="00642501" w:rsidRPr="00DA0BDA" w:rsidRDefault="00642501" w:rsidP="007127FB">
      <w:pPr>
        <w:rPr>
          <w:rFonts w:ascii="Arial" w:hAnsi="Arial" w:cs="Arial"/>
        </w:rPr>
      </w:pPr>
    </w:p>
    <w:p w14:paraId="54841ABD" w14:textId="77777777" w:rsidR="00642501" w:rsidRPr="00DA0BDA" w:rsidRDefault="00642501" w:rsidP="007127FB">
      <w:pPr>
        <w:rPr>
          <w:rFonts w:ascii="Arial" w:hAnsi="Arial" w:cs="Arial"/>
        </w:rPr>
      </w:pPr>
    </w:p>
    <w:p w14:paraId="0A08E139" w14:textId="21F81DA1" w:rsidR="00325417" w:rsidRPr="00DA0BDA" w:rsidRDefault="00325417" w:rsidP="007127FB">
      <w:pPr>
        <w:rPr>
          <w:rFonts w:ascii="Arial" w:hAnsi="Arial" w:cs="Arial"/>
        </w:rPr>
      </w:pPr>
      <w:r w:rsidRPr="00DA0BDA">
        <w:rPr>
          <w:rFonts w:ascii="Arial" w:hAnsi="Arial" w:cs="Arial"/>
        </w:rPr>
        <w:t>Penny En</w:t>
      </w:r>
      <w:r w:rsidR="00D7208B" w:rsidRPr="00DA0BDA">
        <w:rPr>
          <w:rFonts w:ascii="Arial" w:hAnsi="Arial" w:cs="Arial"/>
        </w:rPr>
        <w:t xml:space="preserve">dersby, Chief Executive </w:t>
      </w:r>
      <w:r w:rsidR="00D7208B" w:rsidRPr="00DA0BDA">
        <w:rPr>
          <w:rFonts w:ascii="Arial" w:hAnsi="Arial" w:cs="Arial"/>
        </w:rPr>
        <w:tab/>
      </w:r>
      <w:r w:rsidR="00D7208B" w:rsidRPr="00DA0BDA">
        <w:rPr>
          <w:rFonts w:ascii="Arial" w:hAnsi="Arial" w:cs="Arial"/>
        </w:rPr>
        <w:tab/>
      </w:r>
      <w:r w:rsidR="00D7208B" w:rsidRPr="00DA0BDA">
        <w:rPr>
          <w:rFonts w:ascii="Arial" w:hAnsi="Arial" w:cs="Arial"/>
        </w:rPr>
        <w:tab/>
        <w:t xml:space="preserve">Tammy Lillie, Chief People </w:t>
      </w:r>
      <w:r w:rsidR="00F920CC" w:rsidRPr="00DA0BDA">
        <w:rPr>
          <w:rFonts w:ascii="Arial" w:hAnsi="Arial" w:cs="Arial"/>
        </w:rPr>
        <w:t>Office</w:t>
      </w:r>
      <w:r w:rsidR="00D7208B" w:rsidRPr="00DA0BDA">
        <w:rPr>
          <w:rFonts w:ascii="Arial" w:hAnsi="Arial" w:cs="Arial"/>
        </w:rPr>
        <w:t>r</w:t>
      </w:r>
    </w:p>
    <w:p w14:paraId="648A01D1" w14:textId="77777777" w:rsidR="00D7208B" w:rsidRPr="006C2184" w:rsidRDefault="00D7208B" w:rsidP="007127FB">
      <w:pPr>
        <w:rPr>
          <w:rFonts w:ascii="Arial" w:hAnsi="Arial" w:cs="Arial"/>
        </w:rPr>
      </w:pPr>
    </w:p>
    <w:sectPr w:rsidR="00D7208B" w:rsidRPr="006C2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54A"/>
    <w:multiLevelType w:val="hybridMultilevel"/>
    <w:tmpl w:val="1ECCE788"/>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C32D6"/>
    <w:multiLevelType w:val="hybridMultilevel"/>
    <w:tmpl w:val="81C61E04"/>
    <w:lvl w:ilvl="0" w:tplc="67CA4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7227"/>
    <w:multiLevelType w:val="multilevel"/>
    <w:tmpl w:val="071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A3AE3"/>
    <w:multiLevelType w:val="hybridMultilevel"/>
    <w:tmpl w:val="8AEC044E"/>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F7074"/>
    <w:multiLevelType w:val="hybridMultilevel"/>
    <w:tmpl w:val="B624FFC4"/>
    <w:lvl w:ilvl="0" w:tplc="67CA4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51E4"/>
    <w:multiLevelType w:val="hybridMultilevel"/>
    <w:tmpl w:val="C20E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D71D6"/>
    <w:multiLevelType w:val="hybridMultilevel"/>
    <w:tmpl w:val="264A39E8"/>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079A0"/>
    <w:multiLevelType w:val="hybridMultilevel"/>
    <w:tmpl w:val="7520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E1DDA"/>
    <w:multiLevelType w:val="hybridMultilevel"/>
    <w:tmpl w:val="66BCB47A"/>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54217"/>
    <w:multiLevelType w:val="hybridMultilevel"/>
    <w:tmpl w:val="53706922"/>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03371"/>
    <w:multiLevelType w:val="multilevel"/>
    <w:tmpl w:val="45D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2F4F32"/>
    <w:multiLevelType w:val="hybridMultilevel"/>
    <w:tmpl w:val="FBEC2DBE"/>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45935"/>
    <w:multiLevelType w:val="hybridMultilevel"/>
    <w:tmpl w:val="D952DD2E"/>
    <w:lvl w:ilvl="0" w:tplc="67CA4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B40C7"/>
    <w:multiLevelType w:val="hybridMultilevel"/>
    <w:tmpl w:val="ACA48BC8"/>
    <w:lvl w:ilvl="0" w:tplc="4A4499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847607">
    <w:abstractNumId w:val="1"/>
  </w:num>
  <w:num w:numId="2" w16cid:durableId="1918397304">
    <w:abstractNumId w:val="10"/>
  </w:num>
  <w:num w:numId="3" w16cid:durableId="820074576">
    <w:abstractNumId w:val="7"/>
  </w:num>
  <w:num w:numId="4" w16cid:durableId="670718617">
    <w:abstractNumId w:val="12"/>
  </w:num>
  <w:num w:numId="5" w16cid:durableId="403844626">
    <w:abstractNumId w:val="4"/>
  </w:num>
  <w:num w:numId="6" w16cid:durableId="1004818433">
    <w:abstractNumId w:val="2"/>
  </w:num>
  <w:num w:numId="7" w16cid:durableId="1418674310">
    <w:abstractNumId w:val="5"/>
  </w:num>
  <w:num w:numId="8" w16cid:durableId="1883862865">
    <w:abstractNumId w:val="8"/>
  </w:num>
  <w:num w:numId="9" w16cid:durableId="1540969324">
    <w:abstractNumId w:val="3"/>
  </w:num>
  <w:num w:numId="10" w16cid:durableId="2092579306">
    <w:abstractNumId w:val="11"/>
  </w:num>
  <w:num w:numId="11" w16cid:durableId="1167937035">
    <w:abstractNumId w:val="9"/>
  </w:num>
  <w:num w:numId="12" w16cid:durableId="143595071">
    <w:abstractNumId w:val="6"/>
  </w:num>
  <w:num w:numId="13" w16cid:durableId="523977335">
    <w:abstractNumId w:val="0"/>
  </w:num>
  <w:num w:numId="14" w16cid:durableId="516769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A0"/>
    <w:rsid w:val="00000BB7"/>
    <w:rsid w:val="00004FF7"/>
    <w:rsid w:val="000070FC"/>
    <w:rsid w:val="0001251B"/>
    <w:rsid w:val="000135EF"/>
    <w:rsid w:val="0001456C"/>
    <w:rsid w:val="000155CC"/>
    <w:rsid w:val="00017C4D"/>
    <w:rsid w:val="00021748"/>
    <w:rsid w:val="000240C1"/>
    <w:rsid w:val="000247B0"/>
    <w:rsid w:val="00025ED8"/>
    <w:rsid w:val="000261B9"/>
    <w:rsid w:val="00027878"/>
    <w:rsid w:val="000309DD"/>
    <w:rsid w:val="000316E2"/>
    <w:rsid w:val="0003312D"/>
    <w:rsid w:val="00034AF9"/>
    <w:rsid w:val="0004086A"/>
    <w:rsid w:val="000412B8"/>
    <w:rsid w:val="00042A28"/>
    <w:rsid w:val="00042D91"/>
    <w:rsid w:val="000464AB"/>
    <w:rsid w:val="000529B8"/>
    <w:rsid w:val="000530E1"/>
    <w:rsid w:val="000538EC"/>
    <w:rsid w:val="00053B6A"/>
    <w:rsid w:val="00054049"/>
    <w:rsid w:val="00055C32"/>
    <w:rsid w:val="0005630E"/>
    <w:rsid w:val="000579A8"/>
    <w:rsid w:val="00060B58"/>
    <w:rsid w:val="000644C8"/>
    <w:rsid w:val="000649DB"/>
    <w:rsid w:val="000652BA"/>
    <w:rsid w:val="00067A6B"/>
    <w:rsid w:val="0007074C"/>
    <w:rsid w:val="000746C2"/>
    <w:rsid w:val="000765B4"/>
    <w:rsid w:val="000800D7"/>
    <w:rsid w:val="000817E1"/>
    <w:rsid w:val="000818E0"/>
    <w:rsid w:val="00083EEE"/>
    <w:rsid w:val="00084DD2"/>
    <w:rsid w:val="00085AC4"/>
    <w:rsid w:val="00087302"/>
    <w:rsid w:val="000902C1"/>
    <w:rsid w:val="0009400E"/>
    <w:rsid w:val="000953D3"/>
    <w:rsid w:val="00096655"/>
    <w:rsid w:val="000A1070"/>
    <w:rsid w:val="000A2167"/>
    <w:rsid w:val="000A4A54"/>
    <w:rsid w:val="000A6726"/>
    <w:rsid w:val="000A7093"/>
    <w:rsid w:val="000A7D0C"/>
    <w:rsid w:val="000B310A"/>
    <w:rsid w:val="000B5715"/>
    <w:rsid w:val="000B6E6B"/>
    <w:rsid w:val="000B78A3"/>
    <w:rsid w:val="000C259D"/>
    <w:rsid w:val="000C3487"/>
    <w:rsid w:val="000C3F24"/>
    <w:rsid w:val="000C5D94"/>
    <w:rsid w:val="000C78C5"/>
    <w:rsid w:val="000D15FA"/>
    <w:rsid w:val="000D44A6"/>
    <w:rsid w:val="000E0A86"/>
    <w:rsid w:val="000E1FF5"/>
    <w:rsid w:val="000E2AC8"/>
    <w:rsid w:val="000E4B05"/>
    <w:rsid w:val="000E7EF8"/>
    <w:rsid w:val="000F05E9"/>
    <w:rsid w:val="000F0B56"/>
    <w:rsid w:val="000F344F"/>
    <w:rsid w:val="000F49E0"/>
    <w:rsid w:val="001002CB"/>
    <w:rsid w:val="001011CA"/>
    <w:rsid w:val="001017A0"/>
    <w:rsid w:val="001018CD"/>
    <w:rsid w:val="00102190"/>
    <w:rsid w:val="0010743E"/>
    <w:rsid w:val="00110FFA"/>
    <w:rsid w:val="00111740"/>
    <w:rsid w:val="00111BD6"/>
    <w:rsid w:val="00114712"/>
    <w:rsid w:val="00114A1F"/>
    <w:rsid w:val="00114E41"/>
    <w:rsid w:val="001154AC"/>
    <w:rsid w:val="00116935"/>
    <w:rsid w:val="00117FA0"/>
    <w:rsid w:val="00120511"/>
    <w:rsid w:val="00120FFF"/>
    <w:rsid w:val="0012712A"/>
    <w:rsid w:val="00127994"/>
    <w:rsid w:val="00130A69"/>
    <w:rsid w:val="001316EE"/>
    <w:rsid w:val="001318D0"/>
    <w:rsid w:val="00131ADA"/>
    <w:rsid w:val="00134AB9"/>
    <w:rsid w:val="00134DD6"/>
    <w:rsid w:val="001363F2"/>
    <w:rsid w:val="00137DB8"/>
    <w:rsid w:val="00140A1B"/>
    <w:rsid w:val="00140DDC"/>
    <w:rsid w:val="0014157E"/>
    <w:rsid w:val="001415D9"/>
    <w:rsid w:val="00143BFA"/>
    <w:rsid w:val="00145E29"/>
    <w:rsid w:val="00146D29"/>
    <w:rsid w:val="00146FC1"/>
    <w:rsid w:val="00152B5E"/>
    <w:rsid w:val="00153907"/>
    <w:rsid w:val="001549B5"/>
    <w:rsid w:val="0015671B"/>
    <w:rsid w:val="001579F1"/>
    <w:rsid w:val="00157D5B"/>
    <w:rsid w:val="00157DE4"/>
    <w:rsid w:val="0016012C"/>
    <w:rsid w:val="0016056C"/>
    <w:rsid w:val="001608D3"/>
    <w:rsid w:val="001635C5"/>
    <w:rsid w:val="00163EAB"/>
    <w:rsid w:val="0016419F"/>
    <w:rsid w:val="00164C7E"/>
    <w:rsid w:val="0016715E"/>
    <w:rsid w:val="001708BF"/>
    <w:rsid w:val="00171F42"/>
    <w:rsid w:val="001724F5"/>
    <w:rsid w:val="00172613"/>
    <w:rsid w:val="00172DE9"/>
    <w:rsid w:val="0017389D"/>
    <w:rsid w:val="001809AA"/>
    <w:rsid w:val="00182766"/>
    <w:rsid w:val="00184092"/>
    <w:rsid w:val="0018444D"/>
    <w:rsid w:val="001855C2"/>
    <w:rsid w:val="001923B7"/>
    <w:rsid w:val="001931F2"/>
    <w:rsid w:val="00193402"/>
    <w:rsid w:val="00193ADF"/>
    <w:rsid w:val="001A0237"/>
    <w:rsid w:val="001A03A1"/>
    <w:rsid w:val="001A0899"/>
    <w:rsid w:val="001A0C91"/>
    <w:rsid w:val="001A0FF9"/>
    <w:rsid w:val="001A2BF0"/>
    <w:rsid w:val="001A2CAB"/>
    <w:rsid w:val="001A7003"/>
    <w:rsid w:val="001B0512"/>
    <w:rsid w:val="001B132F"/>
    <w:rsid w:val="001B5F84"/>
    <w:rsid w:val="001C01EC"/>
    <w:rsid w:val="001C073D"/>
    <w:rsid w:val="001C2352"/>
    <w:rsid w:val="001C287B"/>
    <w:rsid w:val="001C2ABD"/>
    <w:rsid w:val="001C3942"/>
    <w:rsid w:val="001C3D39"/>
    <w:rsid w:val="001C4226"/>
    <w:rsid w:val="001C4D3D"/>
    <w:rsid w:val="001C5156"/>
    <w:rsid w:val="001C6E5B"/>
    <w:rsid w:val="001C78B5"/>
    <w:rsid w:val="001D1E21"/>
    <w:rsid w:val="001D393C"/>
    <w:rsid w:val="001D4747"/>
    <w:rsid w:val="001D4CCE"/>
    <w:rsid w:val="001D4F53"/>
    <w:rsid w:val="001D53BD"/>
    <w:rsid w:val="001D6574"/>
    <w:rsid w:val="001E0F90"/>
    <w:rsid w:val="001E1760"/>
    <w:rsid w:val="001E5481"/>
    <w:rsid w:val="001E5CA8"/>
    <w:rsid w:val="001E6823"/>
    <w:rsid w:val="001F0F08"/>
    <w:rsid w:val="001F2134"/>
    <w:rsid w:val="002043B0"/>
    <w:rsid w:val="00204D96"/>
    <w:rsid w:val="00216160"/>
    <w:rsid w:val="002201C9"/>
    <w:rsid w:val="002204E6"/>
    <w:rsid w:val="002212DD"/>
    <w:rsid w:val="00221AD4"/>
    <w:rsid w:val="00222F05"/>
    <w:rsid w:val="0022316E"/>
    <w:rsid w:val="00232A57"/>
    <w:rsid w:val="002343CC"/>
    <w:rsid w:val="00234B8C"/>
    <w:rsid w:val="00237991"/>
    <w:rsid w:val="00240340"/>
    <w:rsid w:val="0024121C"/>
    <w:rsid w:val="00241AF5"/>
    <w:rsid w:val="00242416"/>
    <w:rsid w:val="002426BB"/>
    <w:rsid w:val="0024507C"/>
    <w:rsid w:val="00245478"/>
    <w:rsid w:val="002477C0"/>
    <w:rsid w:val="00247870"/>
    <w:rsid w:val="002509B9"/>
    <w:rsid w:val="00250CD7"/>
    <w:rsid w:val="00253C1B"/>
    <w:rsid w:val="00255E7D"/>
    <w:rsid w:val="002577F0"/>
    <w:rsid w:val="00265625"/>
    <w:rsid w:val="002708AE"/>
    <w:rsid w:val="00272294"/>
    <w:rsid w:val="002731FF"/>
    <w:rsid w:val="0027327E"/>
    <w:rsid w:val="00275AE3"/>
    <w:rsid w:val="00280909"/>
    <w:rsid w:val="002821F9"/>
    <w:rsid w:val="00284BB9"/>
    <w:rsid w:val="00284BD3"/>
    <w:rsid w:val="0029276B"/>
    <w:rsid w:val="00293E9D"/>
    <w:rsid w:val="00294118"/>
    <w:rsid w:val="002947CC"/>
    <w:rsid w:val="002966FE"/>
    <w:rsid w:val="002A068C"/>
    <w:rsid w:val="002A3B25"/>
    <w:rsid w:val="002A65A9"/>
    <w:rsid w:val="002A6DEA"/>
    <w:rsid w:val="002A79BC"/>
    <w:rsid w:val="002B01F5"/>
    <w:rsid w:val="002B107C"/>
    <w:rsid w:val="002B14F0"/>
    <w:rsid w:val="002B1C59"/>
    <w:rsid w:val="002B534B"/>
    <w:rsid w:val="002B5C6F"/>
    <w:rsid w:val="002B746C"/>
    <w:rsid w:val="002B7C25"/>
    <w:rsid w:val="002C0B10"/>
    <w:rsid w:val="002C4774"/>
    <w:rsid w:val="002C7DBB"/>
    <w:rsid w:val="002D334C"/>
    <w:rsid w:val="002D4330"/>
    <w:rsid w:val="002D6666"/>
    <w:rsid w:val="002D7E7D"/>
    <w:rsid w:val="002E1277"/>
    <w:rsid w:val="002E19BC"/>
    <w:rsid w:val="002E2CB5"/>
    <w:rsid w:val="002E33F1"/>
    <w:rsid w:val="002E3B89"/>
    <w:rsid w:val="002E5A6A"/>
    <w:rsid w:val="002F08D0"/>
    <w:rsid w:val="002F4B0D"/>
    <w:rsid w:val="0030003B"/>
    <w:rsid w:val="00302001"/>
    <w:rsid w:val="00306A31"/>
    <w:rsid w:val="00311E0E"/>
    <w:rsid w:val="0031554E"/>
    <w:rsid w:val="00315D0A"/>
    <w:rsid w:val="00315F51"/>
    <w:rsid w:val="003170E0"/>
    <w:rsid w:val="00321516"/>
    <w:rsid w:val="00321B01"/>
    <w:rsid w:val="00321ECD"/>
    <w:rsid w:val="00323737"/>
    <w:rsid w:val="003247C0"/>
    <w:rsid w:val="00324AF3"/>
    <w:rsid w:val="00325417"/>
    <w:rsid w:val="00325509"/>
    <w:rsid w:val="00325BBC"/>
    <w:rsid w:val="003301E4"/>
    <w:rsid w:val="0033064B"/>
    <w:rsid w:val="003308B4"/>
    <w:rsid w:val="00330DF4"/>
    <w:rsid w:val="003310E9"/>
    <w:rsid w:val="003312C2"/>
    <w:rsid w:val="00331377"/>
    <w:rsid w:val="00331B32"/>
    <w:rsid w:val="00335CA0"/>
    <w:rsid w:val="00343807"/>
    <w:rsid w:val="0034669B"/>
    <w:rsid w:val="00352354"/>
    <w:rsid w:val="003569FA"/>
    <w:rsid w:val="0036431E"/>
    <w:rsid w:val="00370C5E"/>
    <w:rsid w:val="00370F52"/>
    <w:rsid w:val="003754A4"/>
    <w:rsid w:val="00375982"/>
    <w:rsid w:val="00376A5F"/>
    <w:rsid w:val="0038102F"/>
    <w:rsid w:val="003835B7"/>
    <w:rsid w:val="00383734"/>
    <w:rsid w:val="003876A9"/>
    <w:rsid w:val="00394F92"/>
    <w:rsid w:val="00395DFF"/>
    <w:rsid w:val="0039731B"/>
    <w:rsid w:val="003A034C"/>
    <w:rsid w:val="003A22BC"/>
    <w:rsid w:val="003A57A6"/>
    <w:rsid w:val="003A59F5"/>
    <w:rsid w:val="003A676C"/>
    <w:rsid w:val="003B3A67"/>
    <w:rsid w:val="003B71A3"/>
    <w:rsid w:val="003B71C0"/>
    <w:rsid w:val="003C0BB3"/>
    <w:rsid w:val="003C2D3F"/>
    <w:rsid w:val="003C38D4"/>
    <w:rsid w:val="003C73C7"/>
    <w:rsid w:val="003D181D"/>
    <w:rsid w:val="003D2BAC"/>
    <w:rsid w:val="003D4C1F"/>
    <w:rsid w:val="003D63DE"/>
    <w:rsid w:val="003E64D5"/>
    <w:rsid w:val="003E662C"/>
    <w:rsid w:val="003E7B8C"/>
    <w:rsid w:val="003F5E50"/>
    <w:rsid w:val="00402B80"/>
    <w:rsid w:val="00404236"/>
    <w:rsid w:val="00405183"/>
    <w:rsid w:val="00405E3C"/>
    <w:rsid w:val="00406176"/>
    <w:rsid w:val="00407D9E"/>
    <w:rsid w:val="004109E2"/>
    <w:rsid w:val="00414CA2"/>
    <w:rsid w:val="00423126"/>
    <w:rsid w:val="004241BE"/>
    <w:rsid w:val="00424C50"/>
    <w:rsid w:val="0042720C"/>
    <w:rsid w:val="004422EA"/>
    <w:rsid w:val="004433CE"/>
    <w:rsid w:val="004447FB"/>
    <w:rsid w:val="00444BCC"/>
    <w:rsid w:val="00451A4C"/>
    <w:rsid w:val="004537CA"/>
    <w:rsid w:val="004552A7"/>
    <w:rsid w:val="0045598E"/>
    <w:rsid w:val="00455CC5"/>
    <w:rsid w:val="004563A3"/>
    <w:rsid w:val="004601C9"/>
    <w:rsid w:val="00460ABC"/>
    <w:rsid w:val="004614F4"/>
    <w:rsid w:val="00461A2D"/>
    <w:rsid w:val="00463864"/>
    <w:rsid w:val="00463B22"/>
    <w:rsid w:val="00464688"/>
    <w:rsid w:val="004717CB"/>
    <w:rsid w:val="00471988"/>
    <w:rsid w:val="00471E7F"/>
    <w:rsid w:val="0047341E"/>
    <w:rsid w:val="00474E6B"/>
    <w:rsid w:val="00476456"/>
    <w:rsid w:val="00483832"/>
    <w:rsid w:val="00483B18"/>
    <w:rsid w:val="00485E82"/>
    <w:rsid w:val="0048615C"/>
    <w:rsid w:val="00492AFB"/>
    <w:rsid w:val="004932C5"/>
    <w:rsid w:val="00495B27"/>
    <w:rsid w:val="004962FB"/>
    <w:rsid w:val="004A1290"/>
    <w:rsid w:val="004A1DA5"/>
    <w:rsid w:val="004A35DB"/>
    <w:rsid w:val="004A5C4D"/>
    <w:rsid w:val="004A6B5F"/>
    <w:rsid w:val="004A75D0"/>
    <w:rsid w:val="004B25A6"/>
    <w:rsid w:val="004B4A41"/>
    <w:rsid w:val="004B5702"/>
    <w:rsid w:val="004B7AAF"/>
    <w:rsid w:val="004C3A78"/>
    <w:rsid w:val="004C511E"/>
    <w:rsid w:val="004C5CBF"/>
    <w:rsid w:val="004D0469"/>
    <w:rsid w:val="004D3E56"/>
    <w:rsid w:val="004D4C22"/>
    <w:rsid w:val="004D6426"/>
    <w:rsid w:val="004D6D91"/>
    <w:rsid w:val="004E227D"/>
    <w:rsid w:val="004E2B30"/>
    <w:rsid w:val="004E5B55"/>
    <w:rsid w:val="004E6B3A"/>
    <w:rsid w:val="004F592A"/>
    <w:rsid w:val="004F7BC4"/>
    <w:rsid w:val="00500982"/>
    <w:rsid w:val="00500F88"/>
    <w:rsid w:val="00502CF6"/>
    <w:rsid w:val="0050312E"/>
    <w:rsid w:val="00504540"/>
    <w:rsid w:val="005065A4"/>
    <w:rsid w:val="005202B8"/>
    <w:rsid w:val="00521B7F"/>
    <w:rsid w:val="00522972"/>
    <w:rsid w:val="005257F3"/>
    <w:rsid w:val="00526EB6"/>
    <w:rsid w:val="00527561"/>
    <w:rsid w:val="00527BB8"/>
    <w:rsid w:val="00530A24"/>
    <w:rsid w:val="00531160"/>
    <w:rsid w:val="00531382"/>
    <w:rsid w:val="005410B5"/>
    <w:rsid w:val="0054267B"/>
    <w:rsid w:val="00546621"/>
    <w:rsid w:val="0055128A"/>
    <w:rsid w:val="0055393C"/>
    <w:rsid w:val="005619A2"/>
    <w:rsid w:val="00562B06"/>
    <w:rsid w:val="00563C32"/>
    <w:rsid w:val="0056522E"/>
    <w:rsid w:val="00565654"/>
    <w:rsid w:val="00565DBF"/>
    <w:rsid w:val="0056639B"/>
    <w:rsid w:val="005665FA"/>
    <w:rsid w:val="00570588"/>
    <w:rsid w:val="00571C5F"/>
    <w:rsid w:val="00571F91"/>
    <w:rsid w:val="00573D97"/>
    <w:rsid w:val="00574649"/>
    <w:rsid w:val="00574D20"/>
    <w:rsid w:val="00574E25"/>
    <w:rsid w:val="00576043"/>
    <w:rsid w:val="0058349D"/>
    <w:rsid w:val="0058442B"/>
    <w:rsid w:val="0058504C"/>
    <w:rsid w:val="00586239"/>
    <w:rsid w:val="00587B09"/>
    <w:rsid w:val="0059083A"/>
    <w:rsid w:val="0059242C"/>
    <w:rsid w:val="005939C8"/>
    <w:rsid w:val="00594E87"/>
    <w:rsid w:val="00597395"/>
    <w:rsid w:val="00597524"/>
    <w:rsid w:val="005A1C40"/>
    <w:rsid w:val="005A3A32"/>
    <w:rsid w:val="005B0BAD"/>
    <w:rsid w:val="005B0F73"/>
    <w:rsid w:val="005B17C5"/>
    <w:rsid w:val="005B1CF8"/>
    <w:rsid w:val="005B6478"/>
    <w:rsid w:val="005B7409"/>
    <w:rsid w:val="005C44B1"/>
    <w:rsid w:val="005C5A2C"/>
    <w:rsid w:val="005D09BD"/>
    <w:rsid w:val="005D2D0F"/>
    <w:rsid w:val="005D3087"/>
    <w:rsid w:val="005E0053"/>
    <w:rsid w:val="005E19AC"/>
    <w:rsid w:val="005E514D"/>
    <w:rsid w:val="005F143B"/>
    <w:rsid w:val="005F2F9D"/>
    <w:rsid w:val="005F3D2C"/>
    <w:rsid w:val="005F55BE"/>
    <w:rsid w:val="005F7A2B"/>
    <w:rsid w:val="005F7F2A"/>
    <w:rsid w:val="00602823"/>
    <w:rsid w:val="006055C5"/>
    <w:rsid w:val="00606A6E"/>
    <w:rsid w:val="006153EA"/>
    <w:rsid w:val="006170DB"/>
    <w:rsid w:val="00617274"/>
    <w:rsid w:val="006201EC"/>
    <w:rsid w:val="00622E7B"/>
    <w:rsid w:val="00624CF3"/>
    <w:rsid w:val="00625D56"/>
    <w:rsid w:val="00626B4C"/>
    <w:rsid w:val="00627D42"/>
    <w:rsid w:val="0063020B"/>
    <w:rsid w:val="006302D5"/>
    <w:rsid w:val="0063799E"/>
    <w:rsid w:val="00642501"/>
    <w:rsid w:val="00642AA8"/>
    <w:rsid w:val="0064301D"/>
    <w:rsid w:val="00644C48"/>
    <w:rsid w:val="00646E12"/>
    <w:rsid w:val="0064709F"/>
    <w:rsid w:val="00647702"/>
    <w:rsid w:val="0065069A"/>
    <w:rsid w:val="006507EF"/>
    <w:rsid w:val="006532CA"/>
    <w:rsid w:val="00653D7B"/>
    <w:rsid w:val="00660B57"/>
    <w:rsid w:val="00662917"/>
    <w:rsid w:val="006648F6"/>
    <w:rsid w:val="0067121B"/>
    <w:rsid w:val="006755FC"/>
    <w:rsid w:val="006757B6"/>
    <w:rsid w:val="00675FB5"/>
    <w:rsid w:val="00676019"/>
    <w:rsid w:val="006773F5"/>
    <w:rsid w:val="00677990"/>
    <w:rsid w:val="0068340C"/>
    <w:rsid w:val="006918A6"/>
    <w:rsid w:val="00691964"/>
    <w:rsid w:val="006941D7"/>
    <w:rsid w:val="0069776F"/>
    <w:rsid w:val="006A06B1"/>
    <w:rsid w:val="006A0A40"/>
    <w:rsid w:val="006A1525"/>
    <w:rsid w:val="006A3D57"/>
    <w:rsid w:val="006A7B63"/>
    <w:rsid w:val="006B15CF"/>
    <w:rsid w:val="006B18EB"/>
    <w:rsid w:val="006B254E"/>
    <w:rsid w:val="006B357F"/>
    <w:rsid w:val="006B3EDE"/>
    <w:rsid w:val="006B48CD"/>
    <w:rsid w:val="006B4CCA"/>
    <w:rsid w:val="006B6AE1"/>
    <w:rsid w:val="006B755C"/>
    <w:rsid w:val="006B75A1"/>
    <w:rsid w:val="006B7C8F"/>
    <w:rsid w:val="006C0ED8"/>
    <w:rsid w:val="006C20E6"/>
    <w:rsid w:val="006C2128"/>
    <w:rsid w:val="006C2184"/>
    <w:rsid w:val="006D015A"/>
    <w:rsid w:val="006D0873"/>
    <w:rsid w:val="006D1332"/>
    <w:rsid w:val="006D27C9"/>
    <w:rsid w:val="006D2A75"/>
    <w:rsid w:val="006D2B2C"/>
    <w:rsid w:val="006D31BA"/>
    <w:rsid w:val="006D5213"/>
    <w:rsid w:val="006D5C30"/>
    <w:rsid w:val="006D7940"/>
    <w:rsid w:val="006E18D5"/>
    <w:rsid w:val="007023E1"/>
    <w:rsid w:val="00702878"/>
    <w:rsid w:val="007058D5"/>
    <w:rsid w:val="00706E86"/>
    <w:rsid w:val="007075DF"/>
    <w:rsid w:val="00710096"/>
    <w:rsid w:val="00711356"/>
    <w:rsid w:val="007127FB"/>
    <w:rsid w:val="00712B64"/>
    <w:rsid w:val="00713E23"/>
    <w:rsid w:val="00714E66"/>
    <w:rsid w:val="00715222"/>
    <w:rsid w:val="0071685E"/>
    <w:rsid w:val="00716DFB"/>
    <w:rsid w:val="0071776E"/>
    <w:rsid w:val="007205A1"/>
    <w:rsid w:val="00720973"/>
    <w:rsid w:val="007214F1"/>
    <w:rsid w:val="00721735"/>
    <w:rsid w:val="00726184"/>
    <w:rsid w:val="0073073D"/>
    <w:rsid w:val="007308A7"/>
    <w:rsid w:val="0073402E"/>
    <w:rsid w:val="00735D4B"/>
    <w:rsid w:val="00740A80"/>
    <w:rsid w:val="00740C53"/>
    <w:rsid w:val="007431EB"/>
    <w:rsid w:val="007439EB"/>
    <w:rsid w:val="00744732"/>
    <w:rsid w:val="00745FCF"/>
    <w:rsid w:val="00747115"/>
    <w:rsid w:val="007474CB"/>
    <w:rsid w:val="00755E75"/>
    <w:rsid w:val="0075640B"/>
    <w:rsid w:val="00762483"/>
    <w:rsid w:val="007640C5"/>
    <w:rsid w:val="0076477D"/>
    <w:rsid w:val="00766368"/>
    <w:rsid w:val="0076775E"/>
    <w:rsid w:val="007677BF"/>
    <w:rsid w:val="007728F9"/>
    <w:rsid w:val="00773553"/>
    <w:rsid w:val="007735B4"/>
    <w:rsid w:val="00774477"/>
    <w:rsid w:val="00775014"/>
    <w:rsid w:val="00775F07"/>
    <w:rsid w:val="00776163"/>
    <w:rsid w:val="0077717C"/>
    <w:rsid w:val="00777262"/>
    <w:rsid w:val="00777E82"/>
    <w:rsid w:val="00780337"/>
    <w:rsid w:val="00781B18"/>
    <w:rsid w:val="007823CA"/>
    <w:rsid w:val="00783E6D"/>
    <w:rsid w:val="007857DE"/>
    <w:rsid w:val="00787358"/>
    <w:rsid w:val="007877D6"/>
    <w:rsid w:val="00787DCB"/>
    <w:rsid w:val="00791067"/>
    <w:rsid w:val="00792007"/>
    <w:rsid w:val="00793C9E"/>
    <w:rsid w:val="00793FAC"/>
    <w:rsid w:val="00794488"/>
    <w:rsid w:val="00794B4D"/>
    <w:rsid w:val="00794EF8"/>
    <w:rsid w:val="0079524F"/>
    <w:rsid w:val="00796513"/>
    <w:rsid w:val="007972FB"/>
    <w:rsid w:val="007A0478"/>
    <w:rsid w:val="007A04BB"/>
    <w:rsid w:val="007A290A"/>
    <w:rsid w:val="007A3CB8"/>
    <w:rsid w:val="007A3CDA"/>
    <w:rsid w:val="007A479A"/>
    <w:rsid w:val="007A4E7E"/>
    <w:rsid w:val="007B10BA"/>
    <w:rsid w:val="007B371F"/>
    <w:rsid w:val="007B4D3C"/>
    <w:rsid w:val="007B699A"/>
    <w:rsid w:val="007C31C3"/>
    <w:rsid w:val="007C55D3"/>
    <w:rsid w:val="007C5B8D"/>
    <w:rsid w:val="007C5BF8"/>
    <w:rsid w:val="007C6463"/>
    <w:rsid w:val="007D3581"/>
    <w:rsid w:val="007D642B"/>
    <w:rsid w:val="007D6F0D"/>
    <w:rsid w:val="007D7FA6"/>
    <w:rsid w:val="007E0704"/>
    <w:rsid w:val="007E0877"/>
    <w:rsid w:val="007E0D06"/>
    <w:rsid w:val="007E4D08"/>
    <w:rsid w:val="007E543B"/>
    <w:rsid w:val="007E5A43"/>
    <w:rsid w:val="007E7830"/>
    <w:rsid w:val="007F00F0"/>
    <w:rsid w:val="007F543B"/>
    <w:rsid w:val="007F76B3"/>
    <w:rsid w:val="00801894"/>
    <w:rsid w:val="00807978"/>
    <w:rsid w:val="008117FC"/>
    <w:rsid w:val="00815DD3"/>
    <w:rsid w:val="00816560"/>
    <w:rsid w:val="008171D2"/>
    <w:rsid w:val="00821D4C"/>
    <w:rsid w:val="00822077"/>
    <w:rsid w:val="008226BF"/>
    <w:rsid w:val="00825D74"/>
    <w:rsid w:val="00831933"/>
    <w:rsid w:val="00833C7A"/>
    <w:rsid w:val="00834B06"/>
    <w:rsid w:val="00835221"/>
    <w:rsid w:val="00835CC9"/>
    <w:rsid w:val="00841CC5"/>
    <w:rsid w:val="00842674"/>
    <w:rsid w:val="00843CE8"/>
    <w:rsid w:val="008459C7"/>
    <w:rsid w:val="00857F94"/>
    <w:rsid w:val="008603CE"/>
    <w:rsid w:val="008605B4"/>
    <w:rsid w:val="0086090F"/>
    <w:rsid w:val="00861B31"/>
    <w:rsid w:val="00870EE9"/>
    <w:rsid w:val="008726D4"/>
    <w:rsid w:val="00872D75"/>
    <w:rsid w:val="00872F40"/>
    <w:rsid w:val="00873AA9"/>
    <w:rsid w:val="00874196"/>
    <w:rsid w:val="00874B43"/>
    <w:rsid w:val="00875DD8"/>
    <w:rsid w:val="00880372"/>
    <w:rsid w:val="00882D9D"/>
    <w:rsid w:val="008859FC"/>
    <w:rsid w:val="00885CB6"/>
    <w:rsid w:val="00885CBE"/>
    <w:rsid w:val="008911B3"/>
    <w:rsid w:val="008912C6"/>
    <w:rsid w:val="00892A8B"/>
    <w:rsid w:val="008931DF"/>
    <w:rsid w:val="00896320"/>
    <w:rsid w:val="008A4330"/>
    <w:rsid w:val="008A4444"/>
    <w:rsid w:val="008A46F8"/>
    <w:rsid w:val="008A477E"/>
    <w:rsid w:val="008A4E94"/>
    <w:rsid w:val="008B0763"/>
    <w:rsid w:val="008B1E3C"/>
    <w:rsid w:val="008B5C99"/>
    <w:rsid w:val="008B6751"/>
    <w:rsid w:val="008B7051"/>
    <w:rsid w:val="008B7855"/>
    <w:rsid w:val="008C0148"/>
    <w:rsid w:val="008C0249"/>
    <w:rsid w:val="008C13F1"/>
    <w:rsid w:val="008C23C9"/>
    <w:rsid w:val="008C332F"/>
    <w:rsid w:val="008C5B03"/>
    <w:rsid w:val="008C78E6"/>
    <w:rsid w:val="008D255C"/>
    <w:rsid w:val="008D7AA8"/>
    <w:rsid w:val="008E15FC"/>
    <w:rsid w:val="008E1F67"/>
    <w:rsid w:val="008E2186"/>
    <w:rsid w:val="008E3242"/>
    <w:rsid w:val="008E468F"/>
    <w:rsid w:val="008E5722"/>
    <w:rsid w:val="008E58F7"/>
    <w:rsid w:val="008E6903"/>
    <w:rsid w:val="008F1588"/>
    <w:rsid w:val="008F2967"/>
    <w:rsid w:val="008F59AE"/>
    <w:rsid w:val="008F71FA"/>
    <w:rsid w:val="00900FE3"/>
    <w:rsid w:val="00902235"/>
    <w:rsid w:val="00902C31"/>
    <w:rsid w:val="00903503"/>
    <w:rsid w:val="0090566F"/>
    <w:rsid w:val="00910488"/>
    <w:rsid w:val="00910D8D"/>
    <w:rsid w:val="00911123"/>
    <w:rsid w:val="00912FB0"/>
    <w:rsid w:val="00913A89"/>
    <w:rsid w:val="009147A9"/>
    <w:rsid w:val="0091637E"/>
    <w:rsid w:val="00921B24"/>
    <w:rsid w:val="00921CDA"/>
    <w:rsid w:val="00922E92"/>
    <w:rsid w:val="00924322"/>
    <w:rsid w:val="009308D7"/>
    <w:rsid w:val="0093163C"/>
    <w:rsid w:val="0094137C"/>
    <w:rsid w:val="0094160C"/>
    <w:rsid w:val="00941885"/>
    <w:rsid w:val="00941C4E"/>
    <w:rsid w:val="00941E3E"/>
    <w:rsid w:val="00946268"/>
    <w:rsid w:val="0095080D"/>
    <w:rsid w:val="00950B63"/>
    <w:rsid w:val="00950CD6"/>
    <w:rsid w:val="009515EB"/>
    <w:rsid w:val="009540AE"/>
    <w:rsid w:val="0095498C"/>
    <w:rsid w:val="0095531A"/>
    <w:rsid w:val="00960039"/>
    <w:rsid w:val="0096089B"/>
    <w:rsid w:val="00961994"/>
    <w:rsid w:val="00962B4E"/>
    <w:rsid w:val="00963DBB"/>
    <w:rsid w:val="00964758"/>
    <w:rsid w:val="0096667A"/>
    <w:rsid w:val="009672E9"/>
    <w:rsid w:val="00967F15"/>
    <w:rsid w:val="009716A3"/>
    <w:rsid w:val="00973549"/>
    <w:rsid w:val="00973A8F"/>
    <w:rsid w:val="00975E2E"/>
    <w:rsid w:val="00976675"/>
    <w:rsid w:val="00980307"/>
    <w:rsid w:val="00981D5E"/>
    <w:rsid w:val="00983D75"/>
    <w:rsid w:val="009864DD"/>
    <w:rsid w:val="00986DD9"/>
    <w:rsid w:val="0099093C"/>
    <w:rsid w:val="00990B4E"/>
    <w:rsid w:val="00994E3B"/>
    <w:rsid w:val="0099629F"/>
    <w:rsid w:val="009A41B0"/>
    <w:rsid w:val="009A598D"/>
    <w:rsid w:val="009A718E"/>
    <w:rsid w:val="009B3283"/>
    <w:rsid w:val="009B61EF"/>
    <w:rsid w:val="009B71FD"/>
    <w:rsid w:val="009C08D1"/>
    <w:rsid w:val="009C25E8"/>
    <w:rsid w:val="009C2D95"/>
    <w:rsid w:val="009C307B"/>
    <w:rsid w:val="009C30EF"/>
    <w:rsid w:val="009C7AA5"/>
    <w:rsid w:val="009D084F"/>
    <w:rsid w:val="009D35EF"/>
    <w:rsid w:val="009D5036"/>
    <w:rsid w:val="009E06BB"/>
    <w:rsid w:val="009E0E2F"/>
    <w:rsid w:val="009E2ED5"/>
    <w:rsid w:val="009E4F30"/>
    <w:rsid w:val="009E53CA"/>
    <w:rsid w:val="009E7322"/>
    <w:rsid w:val="009E7C26"/>
    <w:rsid w:val="009F3DB2"/>
    <w:rsid w:val="009F69BD"/>
    <w:rsid w:val="00A0099B"/>
    <w:rsid w:val="00A02476"/>
    <w:rsid w:val="00A029CC"/>
    <w:rsid w:val="00A02AD2"/>
    <w:rsid w:val="00A03893"/>
    <w:rsid w:val="00A042D8"/>
    <w:rsid w:val="00A07B5C"/>
    <w:rsid w:val="00A13FC1"/>
    <w:rsid w:val="00A14950"/>
    <w:rsid w:val="00A15C77"/>
    <w:rsid w:val="00A24B13"/>
    <w:rsid w:val="00A26A94"/>
    <w:rsid w:val="00A27DA2"/>
    <w:rsid w:val="00A301F2"/>
    <w:rsid w:val="00A32B20"/>
    <w:rsid w:val="00A357FD"/>
    <w:rsid w:val="00A35E6C"/>
    <w:rsid w:val="00A402CE"/>
    <w:rsid w:val="00A404C6"/>
    <w:rsid w:val="00A42F59"/>
    <w:rsid w:val="00A47B21"/>
    <w:rsid w:val="00A522C1"/>
    <w:rsid w:val="00A5358E"/>
    <w:rsid w:val="00A53C76"/>
    <w:rsid w:val="00A53CDE"/>
    <w:rsid w:val="00A5461D"/>
    <w:rsid w:val="00A546B4"/>
    <w:rsid w:val="00A554DC"/>
    <w:rsid w:val="00A56876"/>
    <w:rsid w:val="00A606DD"/>
    <w:rsid w:val="00A61091"/>
    <w:rsid w:val="00A61C30"/>
    <w:rsid w:val="00A63EC5"/>
    <w:rsid w:val="00A6443B"/>
    <w:rsid w:val="00A6496C"/>
    <w:rsid w:val="00A658E6"/>
    <w:rsid w:val="00A66584"/>
    <w:rsid w:val="00A6675F"/>
    <w:rsid w:val="00A67F40"/>
    <w:rsid w:val="00A721A8"/>
    <w:rsid w:val="00A7411D"/>
    <w:rsid w:val="00A80362"/>
    <w:rsid w:val="00A86E1E"/>
    <w:rsid w:val="00A90A89"/>
    <w:rsid w:val="00A92377"/>
    <w:rsid w:val="00A92AF5"/>
    <w:rsid w:val="00A93038"/>
    <w:rsid w:val="00A93D6E"/>
    <w:rsid w:val="00AA4A1E"/>
    <w:rsid w:val="00AA63A9"/>
    <w:rsid w:val="00AA757E"/>
    <w:rsid w:val="00AB0F42"/>
    <w:rsid w:val="00AB1556"/>
    <w:rsid w:val="00AB1657"/>
    <w:rsid w:val="00AB1CA8"/>
    <w:rsid w:val="00AB2D66"/>
    <w:rsid w:val="00AB5932"/>
    <w:rsid w:val="00AB603E"/>
    <w:rsid w:val="00AC1AA3"/>
    <w:rsid w:val="00AC3F37"/>
    <w:rsid w:val="00AC4B28"/>
    <w:rsid w:val="00AC5DE8"/>
    <w:rsid w:val="00AD098E"/>
    <w:rsid w:val="00AD1C5F"/>
    <w:rsid w:val="00AD295D"/>
    <w:rsid w:val="00AD2BCB"/>
    <w:rsid w:val="00AD2F4F"/>
    <w:rsid w:val="00AD451A"/>
    <w:rsid w:val="00AD75C9"/>
    <w:rsid w:val="00AD7CEB"/>
    <w:rsid w:val="00AE0C4E"/>
    <w:rsid w:val="00AE22DF"/>
    <w:rsid w:val="00AE5EA2"/>
    <w:rsid w:val="00AE7870"/>
    <w:rsid w:val="00AE7E7E"/>
    <w:rsid w:val="00AF0223"/>
    <w:rsid w:val="00AF336C"/>
    <w:rsid w:val="00AF3B35"/>
    <w:rsid w:val="00AF744E"/>
    <w:rsid w:val="00B0308F"/>
    <w:rsid w:val="00B04584"/>
    <w:rsid w:val="00B052F1"/>
    <w:rsid w:val="00B100D9"/>
    <w:rsid w:val="00B10730"/>
    <w:rsid w:val="00B10748"/>
    <w:rsid w:val="00B12271"/>
    <w:rsid w:val="00B1280D"/>
    <w:rsid w:val="00B12ADE"/>
    <w:rsid w:val="00B156F3"/>
    <w:rsid w:val="00B16E89"/>
    <w:rsid w:val="00B20BE3"/>
    <w:rsid w:val="00B21D06"/>
    <w:rsid w:val="00B227F3"/>
    <w:rsid w:val="00B22889"/>
    <w:rsid w:val="00B22C6B"/>
    <w:rsid w:val="00B23961"/>
    <w:rsid w:val="00B24472"/>
    <w:rsid w:val="00B25623"/>
    <w:rsid w:val="00B2728E"/>
    <w:rsid w:val="00B31ABF"/>
    <w:rsid w:val="00B328F9"/>
    <w:rsid w:val="00B332CA"/>
    <w:rsid w:val="00B344EA"/>
    <w:rsid w:val="00B3654C"/>
    <w:rsid w:val="00B3696B"/>
    <w:rsid w:val="00B43118"/>
    <w:rsid w:val="00B43C08"/>
    <w:rsid w:val="00B44968"/>
    <w:rsid w:val="00B45090"/>
    <w:rsid w:val="00B52CC3"/>
    <w:rsid w:val="00B60579"/>
    <w:rsid w:val="00B627BF"/>
    <w:rsid w:val="00B668EF"/>
    <w:rsid w:val="00B70A51"/>
    <w:rsid w:val="00B71C9D"/>
    <w:rsid w:val="00B727A9"/>
    <w:rsid w:val="00B73179"/>
    <w:rsid w:val="00B7322F"/>
    <w:rsid w:val="00B73A54"/>
    <w:rsid w:val="00B764A5"/>
    <w:rsid w:val="00B76A2D"/>
    <w:rsid w:val="00B778F9"/>
    <w:rsid w:val="00B85BC0"/>
    <w:rsid w:val="00B8653F"/>
    <w:rsid w:val="00B87AE1"/>
    <w:rsid w:val="00B91379"/>
    <w:rsid w:val="00B921AD"/>
    <w:rsid w:val="00B96419"/>
    <w:rsid w:val="00B96F33"/>
    <w:rsid w:val="00B97637"/>
    <w:rsid w:val="00B97CB9"/>
    <w:rsid w:val="00BA2A8C"/>
    <w:rsid w:val="00BA5D20"/>
    <w:rsid w:val="00BA607C"/>
    <w:rsid w:val="00BA6778"/>
    <w:rsid w:val="00BB0179"/>
    <w:rsid w:val="00BB360A"/>
    <w:rsid w:val="00BB3709"/>
    <w:rsid w:val="00BB4225"/>
    <w:rsid w:val="00BB5AA5"/>
    <w:rsid w:val="00BC0860"/>
    <w:rsid w:val="00BC0918"/>
    <w:rsid w:val="00BC1B6E"/>
    <w:rsid w:val="00BC435A"/>
    <w:rsid w:val="00BC45C3"/>
    <w:rsid w:val="00BC505C"/>
    <w:rsid w:val="00BC52E9"/>
    <w:rsid w:val="00BC692F"/>
    <w:rsid w:val="00BD0FED"/>
    <w:rsid w:val="00BD1681"/>
    <w:rsid w:val="00BD3F17"/>
    <w:rsid w:val="00BD4D36"/>
    <w:rsid w:val="00BD4EE3"/>
    <w:rsid w:val="00BD51B7"/>
    <w:rsid w:val="00BE0663"/>
    <w:rsid w:val="00BE42A1"/>
    <w:rsid w:val="00BE6F46"/>
    <w:rsid w:val="00BE73EA"/>
    <w:rsid w:val="00BE7920"/>
    <w:rsid w:val="00BF0DD6"/>
    <w:rsid w:val="00BF10EF"/>
    <w:rsid w:val="00BF179D"/>
    <w:rsid w:val="00BF49E9"/>
    <w:rsid w:val="00BF4DFE"/>
    <w:rsid w:val="00BF7B84"/>
    <w:rsid w:val="00C03166"/>
    <w:rsid w:val="00C043D2"/>
    <w:rsid w:val="00C04489"/>
    <w:rsid w:val="00C07F46"/>
    <w:rsid w:val="00C113DC"/>
    <w:rsid w:val="00C12A59"/>
    <w:rsid w:val="00C16688"/>
    <w:rsid w:val="00C16716"/>
    <w:rsid w:val="00C22F1A"/>
    <w:rsid w:val="00C23D46"/>
    <w:rsid w:val="00C2730B"/>
    <w:rsid w:val="00C30876"/>
    <w:rsid w:val="00C33284"/>
    <w:rsid w:val="00C36AAB"/>
    <w:rsid w:val="00C4109E"/>
    <w:rsid w:val="00C42F16"/>
    <w:rsid w:val="00C44618"/>
    <w:rsid w:val="00C47C8F"/>
    <w:rsid w:val="00C47F25"/>
    <w:rsid w:val="00C52905"/>
    <w:rsid w:val="00C5335C"/>
    <w:rsid w:val="00C54FF5"/>
    <w:rsid w:val="00C566D5"/>
    <w:rsid w:val="00C566F4"/>
    <w:rsid w:val="00C62E0E"/>
    <w:rsid w:val="00C67DBD"/>
    <w:rsid w:val="00C736A9"/>
    <w:rsid w:val="00C77EB1"/>
    <w:rsid w:val="00C82026"/>
    <w:rsid w:val="00C82BA8"/>
    <w:rsid w:val="00C84ACE"/>
    <w:rsid w:val="00C84E2E"/>
    <w:rsid w:val="00C866DE"/>
    <w:rsid w:val="00C9242E"/>
    <w:rsid w:val="00C93186"/>
    <w:rsid w:val="00C938F9"/>
    <w:rsid w:val="00C956FC"/>
    <w:rsid w:val="00C9615E"/>
    <w:rsid w:val="00C962FF"/>
    <w:rsid w:val="00C96693"/>
    <w:rsid w:val="00C96FF3"/>
    <w:rsid w:val="00C97019"/>
    <w:rsid w:val="00CA153E"/>
    <w:rsid w:val="00CA2F80"/>
    <w:rsid w:val="00CB0EBC"/>
    <w:rsid w:val="00CB1164"/>
    <w:rsid w:val="00CB7E50"/>
    <w:rsid w:val="00CC1053"/>
    <w:rsid w:val="00CC34E7"/>
    <w:rsid w:val="00CC4C94"/>
    <w:rsid w:val="00CC4E64"/>
    <w:rsid w:val="00CC7165"/>
    <w:rsid w:val="00CD1290"/>
    <w:rsid w:val="00CD1F67"/>
    <w:rsid w:val="00CD60C3"/>
    <w:rsid w:val="00CE1D2B"/>
    <w:rsid w:val="00CE2BD0"/>
    <w:rsid w:val="00CE4595"/>
    <w:rsid w:val="00CE6F71"/>
    <w:rsid w:val="00CE7EE2"/>
    <w:rsid w:val="00CF0C49"/>
    <w:rsid w:val="00CF330F"/>
    <w:rsid w:val="00CF3C81"/>
    <w:rsid w:val="00CF451E"/>
    <w:rsid w:val="00D015FC"/>
    <w:rsid w:val="00D01E59"/>
    <w:rsid w:val="00D021E8"/>
    <w:rsid w:val="00D039AA"/>
    <w:rsid w:val="00D057DA"/>
    <w:rsid w:val="00D06788"/>
    <w:rsid w:val="00D114EA"/>
    <w:rsid w:val="00D128AF"/>
    <w:rsid w:val="00D1292B"/>
    <w:rsid w:val="00D14ABB"/>
    <w:rsid w:val="00D20961"/>
    <w:rsid w:val="00D228AF"/>
    <w:rsid w:val="00D2383C"/>
    <w:rsid w:val="00D240B9"/>
    <w:rsid w:val="00D24656"/>
    <w:rsid w:val="00D24904"/>
    <w:rsid w:val="00D26207"/>
    <w:rsid w:val="00D31959"/>
    <w:rsid w:val="00D320BB"/>
    <w:rsid w:val="00D333D7"/>
    <w:rsid w:val="00D33EEB"/>
    <w:rsid w:val="00D3432D"/>
    <w:rsid w:val="00D34488"/>
    <w:rsid w:val="00D409F7"/>
    <w:rsid w:val="00D41147"/>
    <w:rsid w:val="00D41951"/>
    <w:rsid w:val="00D4308E"/>
    <w:rsid w:val="00D47077"/>
    <w:rsid w:val="00D47E66"/>
    <w:rsid w:val="00D51076"/>
    <w:rsid w:val="00D55D1B"/>
    <w:rsid w:val="00D56DF7"/>
    <w:rsid w:val="00D602F2"/>
    <w:rsid w:val="00D61B66"/>
    <w:rsid w:val="00D66150"/>
    <w:rsid w:val="00D7186D"/>
    <w:rsid w:val="00D7208B"/>
    <w:rsid w:val="00D73919"/>
    <w:rsid w:val="00D75008"/>
    <w:rsid w:val="00D81878"/>
    <w:rsid w:val="00D83EC3"/>
    <w:rsid w:val="00D86617"/>
    <w:rsid w:val="00D87EDE"/>
    <w:rsid w:val="00D87FE3"/>
    <w:rsid w:val="00D92359"/>
    <w:rsid w:val="00D92456"/>
    <w:rsid w:val="00D92EBD"/>
    <w:rsid w:val="00D9341B"/>
    <w:rsid w:val="00D93AF2"/>
    <w:rsid w:val="00D96347"/>
    <w:rsid w:val="00DA09DA"/>
    <w:rsid w:val="00DA0BDA"/>
    <w:rsid w:val="00DA371C"/>
    <w:rsid w:val="00DA3B49"/>
    <w:rsid w:val="00DA4052"/>
    <w:rsid w:val="00DA758F"/>
    <w:rsid w:val="00DB3843"/>
    <w:rsid w:val="00DB5042"/>
    <w:rsid w:val="00DB549F"/>
    <w:rsid w:val="00DC322F"/>
    <w:rsid w:val="00DC385E"/>
    <w:rsid w:val="00DC5F3F"/>
    <w:rsid w:val="00DD0FAE"/>
    <w:rsid w:val="00DD338D"/>
    <w:rsid w:val="00DD6F68"/>
    <w:rsid w:val="00DD74B3"/>
    <w:rsid w:val="00DD7830"/>
    <w:rsid w:val="00DE4194"/>
    <w:rsid w:val="00DE4805"/>
    <w:rsid w:val="00DE51E9"/>
    <w:rsid w:val="00DE64D4"/>
    <w:rsid w:val="00DE74C4"/>
    <w:rsid w:val="00DF028E"/>
    <w:rsid w:val="00DF0C7C"/>
    <w:rsid w:val="00DF1D53"/>
    <w:rsid w:val="00DF689C"/>
    <w:rsid w:val="00DF756C"/>
    <w:rsid w:val="00DF7B52"/>
    <w:rsid w:val="00E001A5"/>
    <w:rsid w:val="00E023E1"/>
    <w:rsid w:val="00E02DEF"/>
    <w:rsid w:val="00E032D8"/>
    <w:rsid w:val="00E0603B"/>
    <w:rsid w:val="00E10E5D"/>
    <w:rsid w:val="00E122AF"/>
    <w:rsid w:val="00E13D5E"/>
    <w:rsid w:val="00E15F9A"/>
    <w:rsid w:val="00E174FF"/>
    <w:rsid w:val="00E20410"/>
    <w:rsid w:val="00E21C07"/>
    <w:rsid w:val="00E31338"/>
    <w:rsid w:val="00E318B4"/>
    <w:rsid w:val="00E33C88"/>
    <w:rsid w:val="00E33F94"/>
    <w:rsid w:val="00E35843"/>
    <w:rsid w:val="00E377AC"/>
    <w:rsid w:val="00E40102"/>
    <w:rsid w:val="00E41F28"/>
    <w:rsid w:val="00E44936"/>
    <w:rsid w:val="00E467C9"/>
    <w:rsid w:val="00E4758D"/>
    <w:rsid w:val="00E52A3A"/>
    <w:rsid w:val="00E6014B"/>
    <w:rsid w:val="00E606B9"/>
    <w:rsid w:val="00E6474D"/>
    <w:rsid w:val="00E647B0"/>
    <w:rsid w:val="00E664EF"/>
    <w:rsid w:val="00E6756E"/>
    <w:rsid w:val="00E704FF"/>
    <w:rsid w:val="00E7283D"/>
    <w:rsid w:val="00E73CCB"/>
    <w:rsid w:val="00E747F5"/>
    <w:rsid w:val="00E76F77"/>
    <w:rsid w:val="00E77EEF"/>
    <w:rsid w:val="00E807A5"/>
    <w:rsid w:val="00E8084E"/>
    <w:rsid w:val="00E83408"/>
    <w:rsid w:val="00E83709"/>
    <w:rsid w:val="00E83F18"/>
    <w:rsid w:val="00E84DCC"/>
    <w:rsid w:val="00E908D3"/>
    <w:rsid w:val="00E949AE"/>
    <w:rsid w:val="00E9547E"/>
    <w:rsid w:val="00E95BA4"/>
    <w:rsid w:val="00E964DE"/>
    <w:rsid w:val="00E96F45"/>
    <w:rsid w:val="00EA0B3B"/>
    <w:rsid w:val="00EA1004"/>
    <w:rsid w:val="00EA2BD8"/>
    <w:rsid w:val="00EA469F"/>
    <w:rsid w:val="00EA5DEF"/>
    <w:rsid w:val="00EB1963"/>
    <w:rsid w:val="00EB28C3"/>
    <w:rsid w:val="00EB434C"/>
    <w:rsid w:val="00EB4C45"/>
    <w:rsid w:val="00EB6881"/>
    <w:rsid w:val="00EC2A29"/>
    <w:rsid w:val="00EC7300"/>
    <w:rsid w:val="00ED29B9"/>
    <w:rsid w:val="00ED6B09"/>
    <w:rsid w:val="00ED7506"/>
    <w:rsid w:val="00EE0045"/>
    <w:rsid w:val="00EE37A0"/>
    <w:rsid w:val="00EE3EFA"/>
    <w:rsid w:val="00EE5232"/>
    <w:rsid w:val="00EE648C"/>
    <w:rsid w:val="00EE6E2C"/>
    <w:rsid w:val="00EF0122"/>
    <w:rsid w:val="00EF1EDA"/>
    <w:rsid w:val="00EF50D2"/>
    <w:rsid w:val="00EF60BA"/>
    <w:rsid w:val="00F00984"/>
    <w:rsid w:val="00F01311"/>
    <w:rsid w:val="00F01C08"/>
    <w:rsid w:val="00F02AAD"/>
    <w:rsid w:val="00F068BD"/>
    <w:rsid w:val="00F06E71"/>
    <w:rsid w:val="00F07364"/>
    <w:rsid w:val="00F10228"/>
    <w:rsid w:val="00F124A4"/>
    <w:rsid w:val="00F13289"/>
    <w:rsid w:val="00F13B88"/>
    <w:rsid w:val="00F15C98"/>
    <w:rsid w:val="00F16B80"/>
    <w:rsid w:val="00F20935"/>
    <w:rsid w:val="00F21EC1"/>
    <w:rsid w:val="00F25DE3"/>
    <w:rsid w:val="00F311BE"/>
    <w:rsid w:val="00F40002"/>
    <w:rsid w:val="00F402A3"/>
    <w:rsid w:val="00F40707"/>
    <w:rsid w:val="00F4349A"/>
    <w:rsid w:val="00F467F7"/>
    <w:rsid w:val="00F46BF7"/>
    <w:rsid w:val="00F55B8F"/>
    <w:rsid w:val="00F573FF"/>
    <w:rsid w:val="00F61446"/>
    <w:rsid w:val="00F62750"/>
    <w:rsid w:val="00F62B68"/>
    <w:rsid w:val="00F6369D"/>
    <w:rsid w:val="00F63F43"/>
    <w:rsid w:val="00F64322"/>
    <w:rsid w:val="00F72BF2"/>
    <w:rsid w:val="00F743CE"/>
    <w:rsid w:val="00F7446D"/>
    <w:rsid w:val="00F767B2"/>
    <w:rsid w:val="00F77C2D"/>
    <w:rsid w:val="00F82989"/>
    <w:rsid w:val="00F841D1"/>
    <w:rsid w:val="00F85593"/>
    <w:rsid w:val="00F8639F"/>
    <w:rsid w:val="00F90198"/>
    <w:rsid w:val="00F90732"/>
    <w:rsid w:val="00F9197E"/>
    <w:rsid w:val="00F920CC"/>
    <w:rsid w:val="00F925BC"/>
    <w:rsid w:val="00F933EF"/>
    <w:rsid w:val="00F93EEE"/>
    <w:rsid w:val="00F944E3"/>
    <w:rsid w:val="00FA170F"/>
    <w:rsid w:val="00FA7F02"/>
    <w:rsid w:val="00FB02BD"/>
    <w:rsid w:val="00FB0559"/>
    <w:rsid w:val="00FB1FD8"/>
    <w:rsid w:val="00FB2026"/>
    <w:rsid w:val="00FB28EB"/>
    <w:rsid w:val="00FB4FF7"/>
    <w:rsid w:val="00FC031D"/>
    <w:rsid w:val="00FC076A"/>
    <w:rsid w:val="00FC31A4"/>
    <w:rsid w:val="00FC3768"/>
    <w:rsid w:val="00FC3D0E"/>
    <w:rsid w:val="00FC42B2"/>
    <w:rsid w:val="00FC62F3"/>
    <w:rsid w:val="00FC6624"/>
    <w:rsid w:val="00FD24BD"/>
    <w:rsid w:val="00FD470D"/>
    <w:rsid w:val="00FD4E26"/>
    <w:rsid w:val="00FD5066"/>
    <w:rsid w:val="00FD61FA"/>
    <w:rsid w:val="00FD7536"/>
    <w:rsid w:val="00FE276B"/>
    <w:rsid w:val="00FE277D"/>
    <w:rsid w:val="00FE3105"/>
    <w:rsid w:val="00FE3D8D"/>
    <w:rsid w:val="00FE4027"/>
    <w:rsid w:val="00FE4184"/>
    <w:rsid w:val="00FE4A6F"/>
    <w:rsid w:val="00FE5334"/>
    <w:rsid w:val="00FE5D12"/>
    <w:rsid w:val="00FE5DB6"/>
    <w:rsid w:val="00FE6291"/>
    <w:rsid w:val="00FE6524"/>
    <w:rsid w:val="00FE723A"/>
    <w:rsid w:val="00FF0331"/>
    <w:rsid w:val="00FF0DCD"/>
    <w:rsid w:val="00FF48FC"/>
    <w:rsid w:val="00FF7AAC"/>
    <w:rsid w:val="00FF7EFA"/>
    <w:rsid w:val="0106C3F2"/>
    <w:rsid w:val="01693DF5"/>
    <w:rsid w:val="01BDE03E"/>
    <w:rsid w:val="01C85246"/>
    <w:rsid w:val="01F525D0"/>
    <w:rsid w:val="021D3459"/>
    <w:rsid w:val="0281B1A6"/>
    <w:rsid w:val="029B7192"/>
    <w:rsid w:val="0331563D"/>
    <w:rsid w:val="03879F5C"/>
    <w:rsid w:val="0390F631"/>
    <w:rsid w:val="0457482A"/>
    <w:rsid w:val="04762BA3"/>
    <w:rsid w:val="04891BBC"/>
    <w:rsid w:val="04D55D03"/>
    <w:rsid w:val="05B95268"/>
    <w:rsid w:val="05CA68CF"/>
    <w:rsid w:val="06380CD9"/>
    <w:rsid w:val="0639DADF"/>
    <w:rsid w:val="068E7D7A"/>
    <w:rsid w:val="06C896F3"/>
    <w:rsid w:val="06F0A57C"/>
    <w:rsid w:val="070D7DC7"/>
    <w:rsid w:val="073D4FAA"/>
    <w:rsid w:val="0746B6F6"/>
    <w:rsid w:val="07E5BFEA"/>
    <w:rsid w:val="08AD8E13"/>
    <w:rsid w:val="08B6699A"/>
    <w:rsid w:val="08E4A564"/>
    <w:rsid w:val="0988510F"/>
    <w:rsid w:val="09E4B61D"/>
    <w:rsid w:val="0A1ECA39"/>
    <w:rsid w:val="0A450D46"/>
    <w:rsid w:val="0A57A4F3"/>
    <w:rsid w:val="0AF80409"/>
    <w:rsid w:val="0B353685"/>
    <w:rsid w:val="0B449E87"/>
    <w:rsid w:val="0BA22DC6"/>
    <w:rsid w:val="0BE111A8"/>
    <w:rsid w:val="0C5C1C43"/>
    <w:rsid w:val="0CFFA176"/>
    <w:rsid w:val="0D37D877"/>
    <w:rsid w:val="0E109ED6"/>
    <w:rsid w:val="0E4B4965"/>
    <w:rsid w:val="0E4DD5D7"/>
    <w:rsid w:val="0ECAD79B"/>
    <w:rsid w:val="0EFE7FDA"/>
    <w:rsid w:val="0F5E9E0C"/>
    <w:rsid w:val="0F7E6EAB"/>
    <w:rsid w:val="0FB189DA"/>
    <w:rsid w:val="108FA79E"/>
    <w:rsid w:val="109F030C"/>
    <w:rsid w:val="10F93622"/>
    <w:rsid w:val="11185760"/>
    <w:rsid w:val="114B5790"/>
    <w:rsid w:val="116C33FD"/>
    <w:rsid w:val="1277DDF3"/>
    <w:rsid w:val="12E7C282"/>
    <w:rsid w:val="1308045E"/>
    <w:rsid w:val="1310CFD2"/>
    <w:rsid w:val="1329F2CD"/>
    <w:rsid w:val="137E350F"/>
    <w:rsid w:val="1484309A"/>
    <w:rsid w:val="14A959CD"/>
    <w:rsid w:val="150CFEC1"/>
    <w:rsid w:val="152768C4"/>
    <w:rsid w:val="154AD7E2"/>
    <w:rsid w:val="1560EBE3"/>
    <w:rsid w:val="15668A20"/>
    <w:rsid w:val="15930068"/>
    <w:rsid w:val="159F6BB3"/>
    <w:rsid w:val="15A76707"/>
    <w:rsid w:val="15EB7F79"/>
    <w:rsid w:val="1835A181"/>
    <w:rsid w:val="18666841"/>
    <w:rsid w:val="187A8B1E"/>
    <w:rsid w:val="187DA5D9"/>
    <w:rsid w:val="188C39C3"/>
    <w:rsid w:val="1899D5A3"/>
    <w:rsid w:val="18FC1CD6"/>
    <w:rsid w:val="1966EFAB"/>
    <w:rsid w:val="19DDD07E"/>
    <w:rsid w:val="1A190FF4"/>
    <w:rsid w:val="1A1E4905"/>
    <w:rsid w:val="1A361DE3"/>
    <w:rsid w:val="1A498ABA"/>
    <w:rsid w:val="1A5D88C8"/>
    <w:rsid w:val="1ABF9644"/>
    <w:rsid w:val="1ADE1C99"/>
    <w:rsid w:val="1C54F046"/>
    <w:rsid w:val="1C623E6A"/>
    <w:rsid w:val="1C83D11D"/>
    <w:rsid w:val="1CB2DCC1"/>
    <w:rsid w:val="1CD7E82D"/>
    <w:rsid w:val="1D52D56B"/>
    <w:rsid w:val="1D55E9C7"/>
    <w:rsid w:val="1D57AE27"/>
    <w:rsid w:val="1DCAA27E"/>
    <w:rsid w:val="1E4CFDA7"/>
    <w:rsid w:val="1E992E16"/>
    <w:rsid w:val="1E9A5099"/>
    <w:rsid w:val="1EB3ADF0"/>
    <w:rsid w:val="1EBC37B4"/>
    <w:rsid w:val="1ED5D3D3"/>
    <w:rsid w:val="1ED7785C"/>
    <w:rsid w:val="1EE89E56"/>
    <w:rsid w:val="1EF1BA28"/>
    <w:rsid w:val="1F23536B"/>
    <w:rsid w:val="208D8A89"/>
    <w:rsid w:val="20A1316C"/>
    <w:rsid w:val="20D17B85"/>
    <w:rsid w:val="210ECC2F"/>
    <w:rsid w:val="2126961C"/>
    <w:rsid w:val="213645DC"/>
    <w:rsid w:val="214CA327"/>
    <w:rsid w:val="225803ED"/>
    <w:rsid w:val="226B8663"/>
    <w:rsid w:val="226FEDAA"/>
    <w:rsid w:val="239DF190"/>
    <w:rsid w:val="2451DC74"/>
    <w:rsid w:val="249E9BF6"/>
    <w:rsid w:val="24CFFEF2"/>
    <w:rsid w:val="25F43EAF"/>
    <w:rsid w:val="267B3769"/>
    <w:rsid w:val="267DC16A"/>
    <w:rsid w:val="26E2E29C"/>
    <w:rsid w:val="26FCCC0D"/>
    <w:rsid w:val="277B0BDA"/>
    <w:rsid w:val="27897D36"/>
    <w:rsid w:val="27A35FAD"/>
    <w:rsid w:val="27AA052A"/>
    <w:rsid w:val="2856891A"/>
    <w:rsid w:val="28989C6E"/>
    <w:rsid w:val="28F7BCF0"/>
    <w:rsid w:val="2931483F"/>
    <w:rsid w:val="298ED083"/>
    <w:rsid w:val="298F4DDB"/>
    <w:rsid w:val="29955732"/>
    <w:rsid w:val="2A2B9830"/>
    <w:rsid w:val="2A346CCF"/>
    <w:rsid w:val="2A80FE43"/>
    <w:rsid w:val="2B51D1F1"/>
    <w:rsid w:val="2B9B2E7E"/>
    <w:rsid w:val="2B9B933B"/>
    <w:rsid w:val="2BE5D45A"/>
    <w:rsid w:val="2D0C1B08"/>
    <w:rsid w:val="2D466187"/>
    <w:rsid w:val="2D858D79"/>
    <w:rsid w:val="2DEF3E98"/>
    <w:rsid w:val="2E0EAA5D"/>
    <w:rsid w:val="2E2FB84E"/>
    <w:rsid w:val="2EF517BE"/>
    <w:rsid w:val="2EFD78A0"/>
    <w:rsid w:val="2F91F99F"/>
    <w:rsid w:val="300DFC72"/>
    <w:rsid w:val="302C52F2"/>
    <w:rsid w:val="30530FC7"/>
    <w:rsid w:val="30B5C645"/>
    <w:rsid w:val="30D03CD2"/>
    <w:rsid w:val="3126DF5A"/>
    <w:rsid w:val="3138B824"/>
    <w:rsid w:val="316E91E4"/>
    <w:rsid w:val="329F0CF4"/>
    <w:rsid w:val="33A17657"/>
    <w:rsid w:val="33C06064"/>
    <w:rsid w:val="33E0283F"/>
    <w:rsid w:val="3437E811"/>
    <w:rsid w:val="3439492E"/>
    <w:rsid w:val="345E801C"/>
    <w:rsid w:val="3464C669"/>
    <w:rsid w:val="34ABB86B"/>
    <w:rsid w:val="34C2CA0B"/>
    <w:rsid w:val="3558DFE7"/>
    <w:rsid w:val="35EE8FB5"/>
    <w:rsid w:val="365AB1DD"/>
    <w:rsid w:val="36B332B5"/>
    <w:rsid w:val="36E23BF7"/>
    <w:rsid w:val="372EF4B5"/>
    <w:rsid w:val="37342AAF"/>
    <w:rsid w:val="374BF458"/>
    <w:rsid w:val="376B589D"/>
    <w:rsid w:val="377852F0"/>
    <w:rsid w:val="37EA6B79"/>
    <w:rsid w:val="37F2266D"/>
    <w:rsid w:val="38056454"/>
    <w:rsid w:val="382ECAF0"/>
    <w:rsid w:val="38FA9EBA"/>
    <w:rsid w:val="391ABE5A"/>
    <w:rsid w:val="3954B0D9"/>
    <w:rsid w:val="3B0B41BE"/>
    <w:rsid w:val="3B247AAB"/>
    <w:rsid w:val="3B9D2FDD"/>
    <w:rsid w:val="3BC8A1EE"/>
    <w:rsid w:val="3BE0FE10"/>
    <w:rsid w:val="3C7BFCF3"/>
    <w:rsid w:val="3CC0FB90"/>
    <w:rsid w:val="3D8AB5A2"/>
    <w:rsid w:val="3E2821FC"/>
    <w:rsid w:val="3E9E098B"/>
    <w:rsid w:val="3F6D7B21"/>
    <w:rsid w:val="3F9CD7C8"/>
    <w:rsid w:val="409F8822"/>
    <w:rsid w:val="41AB0630"/>
    <w:rsid w:val="41BAE38F"/>
    <w:rsid w:val="41BC5996"/>
    <w:rsid w:val="4238DE33"/>
    <w:rsid w:val="429B6C50"/>
    <w:rsid w:val="42D64210"/>
    <w:rsid w:val="4345D43E"/>
    <w:rsid w:val="43529C78"/>
    <w:rsid w:val="438F9E58"/>
    <w:rsid w:val="43C5C110"/>
    <w:rsid w:val="43D425DF"/>
    <w:rsid w:val="443ECE49"/>
    <w:rsid w:val="448384FC"/>
    <w:rsid w:val="457BE5EC"/>
    <w:rsid w:val="463333E1"/>
    <w:rsid w:val="46932D60"/>
    <w:rsid w:val="480EE8CF"/>
    <w:rsid w:val="4823726D"/>
    <w:rsid w:val="4886DF3E"/>
    <w:rsid w:val="48DBC4B3"/>
    <w:rsid w:val="48F66D22"/>
    <w:rsid w:val="49622056"/>
    <w:rsid w:val="49A457C2"/>
    <w:rsid w:val="49DEFA6D"/>
    <w:rsid w:val="4A3040B8"/>
    <w:rsid w:val="4A61B54B"/>
    <w:rsid w:val="4A88FF5A"/>
    <w:rsid w:val="4B06A504"/>
    <w:rsid w:val="4B872D7B"/>
    <w:rsid w:val="4B9AAB61"/>
    <w:rsid w:val="4BECFFD0"/>
    <w:rsid w:val="4C18F95C"/>
    <w:rsid w:val="4C2EC6FD"/>
    <w:rsid w:val="4C6ABE08"/>
    <w:rsid w:val="4CAA62EB"/>
    <w:rsid w:val="4DA3DB5D"/>
    <w:rsid w:val="4EABF43C"/>
    <w:rsid w:val="4ED24C23"/>
    <w:rsid w:val="4F7598DA"/>
    <w:rsid w:val="4FC1E344"/>
    <w:rsid w:val="5120E030"/>
    <w:rsid w:val="517DD40E"/>
    <w:rsid w:val="51AD0BE1"/>
    <w:rsid w:val="52044934"/>
    <w:rsid w:val="52470073"/>
    <w:rsid w:val="52948AAE"/>
    <w:rsid w:val="52E59A5A"/>
    <w:rsid w:val="53605A28"/>
    <w:rsid w:val="53923F60"/>
    <w:rsid w:val="53F413F6"/>
    <w:rsid w:val="543292EE"/>
    <w:rsid w:val="54EACC6A"/>
    <w:rsid w:val="55954E49"/>
    <w:rsid w:val="55BDB901"/>
    <w:rsid w:val="55CBB201"/>
    <w:rsid w:val="565700B1"/>
    <w:rsid w:val="5708D7EA"/>
    <w:rsid w:val="578A9590"/>
    <w:rsid w:val="57A10207"/>
    <w:rsid w:val="57DBF89F"/>
    <w:rsid w:val="58044F53"/>
    <w:rsid w:val="580BD4DC"/>
    <w:rsid w:val="58A95AF1"/>
    <w:rsid w:val="58DFF462"/>
    <w:rsid w:val="598EB72E"/>
    <w:rsid w:val="5AA6D83E"/>
    <w:rsid w:val="5B245197"/>
    <w:rsid w:val="5B5DA08D"/>
    <w:rsid w:val="5C3E0F8C"/>
    <w:rsid w:val="5C47493B"/>
    <w:rsid w:val="5C8E8B77"/>
    <w:rsid w:val="5CFA8F81"/>
    <w:rsid w:val="5D14AD16"/>
    <w:rsid w:val="5D4FE1B9"/>
    <w:rsid w:val="5DA1EA2F"/>
    <w:rsid w:val="5DD98C5F"/>
    <w:rsid w:val="5E2CE499"/>
    <w:rsid w:val="5EC16B5E"/>
    <w:rsid w:val="5F2BFDB5"/>
    <w:rsid w:val="602717CE"/>
    <w:rsid w:val="603EE95E"/>
    <w:rsid w:val="614F375E"/>
    <w:rsid w:val="617C24B9"/>
    <w:rsid w:val="619474D1"/>
    <w:rsid w:val="61AB7D81"/>
    <w:rsid w:val="61BA6D0F"/>
    <w:rsid w:val="61E8FF3E"/>
    <w:rsid w:val="6269E6FD"/>
    <w:rsid w:val="62E8C8C7"/>
    <w:rsid w:val="63096454"/>
    <w:rsid w:val="635EC1CF"/>
    <w:rsid w:val="63E7A335"/>
    <w:rsid w:val="64134D67"/>
    <w:rsid w:val="641AA89B"/>
    <w:rsid w:val="64577660"/>
    <w:rsid w:val="646B4407"/>
    <w:rsid w:val="648A852A"/>
    <w:rsid w:val="65201C9A"/>
    <w:rsid w:val="6520A000"/>
    <w:rsid w:val="66ED3536"/>
    <w:rsid w:val="6713B998"/>
    <w:rsid w:val="67822D5C"/>
    <w:rsid w:val="67D65237"/>
    <w:rsid w:val="67EA5372"/>
    <w:rsid w:val="6886F1D3"/>
    <w:rsid w:val="68AC3F3F"/>
    <w:rsid w:val="6903850E"/>
    <w:rsid w:val="69F41123"/>
    <w:rsid w:val="6A26F7BD"/>
    <w:rsid w:val="6A30A147"/>
    <w:rsid w:val="6A6F59D2"/>
    <w:rsid w:val="6B4ABD56"/>
    <w:rsid w:val="6B85EF9E"/>
    <w:rsid w:val="6B8FE184"/>
    <w:rsid w:val="6B9A23B5"/>
    <w:rsid w:val="6BE78908"/>
    <w:rsid w:val="6BEB46B8"/>
    <w:rsid w:val="6BF6DDF5"/>
    <w:rsid w:val="6C0594C8"/>
    <w:rsid w:val="6C6D3C00"/>
    <w:rsid w:val="6CE4D870"/>
    <w:rsid w:val="6D5D504C"/>
    <w:rsid w:val="6D636269"/>
    <w:rsid w:val="6DB14515"/>
    <w:rsid w:val="6E248C79"/>
    <w:rsid w:val="6E2F81BA"/>
    <w:rsid w:val="6F4D1576"/>
    <w:rsid w:val="6F67D5FA"/>
    <w:rsid w:val="6FD3139A"/>
    <w:rsid w:val="6FEEB950"/>
    <w:rsid w:val="6FF04E4A"/>
    <w:rsid w:val="706352A7"/>
    <w:rsid w:val="7106E358"/>
    <w:rsid w:val="71A7D80A"/>
    <w:rsid w:val="71D94237"/>
    <w:rsid w:val="726D3195"/>
    <w:rsid w:val="72A8EB05"/>
    <w:rsid w:val="72D2312A"/>
    <w:rsid w:val="72E17853"/>
    <w:rsid w:val="72E22434"/>
    <w:rsid w:val="7300870E"/>
    <w:rsid w:val="73B1B636"/>
    <w:rsid w:val="73F46CA9"/>
    <w:rsid w:val="74075E3C"/>
    <w:rsid w:val="748EB65C"/>
    <w:rsid w:val="74CD2D98"/>
    <w:rsid w:val="74D856FD"/>
    <w:rsid w:val="75391D98"/>
    <w:rsid w:val="7545B5E9"/>
    <w:rsid w:val="759859D1"/>
    <w:rsid w:val="75BDEF21"/>
    <w:rsid w:val="760E49B2"/>
    <w:rsid w:val="76D71B27"/>
    <w:rsid w:val="7759BF82"/>
    <w:rsid w:val="7773A8F3"/>
    <w:rsid w:val="7878E030"/>
    <w:rsid w:val="78D80325"/>
    <w:rsid w:val="797C7339"/>
    <w:rsid w:val="79B5E76B"/>
    <w:rsid w:val="79EE3994"/>
    <w:rsid w:val="7A3DBF2F"/>
    <w:rsid w:val="7A6644D9"/>
    <w:rsid w:val="7B55E206"/>
    <w:rsid w:val="7BA6E7FE"/>
    <w:rsid w:val="7BB4B102"/>
    <w:rsid w:val="7BEA3945"/>
    <w:rsid w:val="7BFD33D2"/>
    <w:rsid w:val="7CC35966"/>
    <w:rsid w:val="7CDB9372"/>
    <w:rsid w:val="7CEE05E6"/>
    <w:rsid w:val="7D0E00E0"/>
    <w:rsid w:val="7D2C7F09"/>
    <w:rsid w:val="7D49C335"/>
    <w:rsid w:val="7D71FA95"/>
    <w:rsid w:val="7DDF8D0F"/>
    <w:rsid w:val="7E4D4215"/>
    <w:rsid w:val="7E561004"/>
    <w:rsid w:val="7E706EC2"/>
    <w:rsid w:val="7E883D39"/>
    <w:rsid w:val="7F2E1C4C"/>
    <w:rsid w:val="7FC1F6BA"/>
    <w:rsid w:val="7FE974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3247"/>
  <w15:chartTrackingRefBased/>
  <w15:docId w15:val="{815994E1-1A0A-42E6-9EE2-B61CF4E0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16"/>
  </w:style>
  <w:style w:type="paragraph" w:styleId="Heading1">
    <w:name w:val="heading 1"/>
    <w:basedOn w:val="Normal"/>
    <w:next w:val="Normal"/>
    <w:link w:val="Heading1Char"/>
    <w:uiPriority w:val="9"/>
    <w:qFormat/>
    <w:rsid w:val="009C30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3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38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D12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D129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412B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A0"/>
    <w:pPr>
      <w:ind w:left="720"/>
      <w:contextualSpacing/>
    </w:pPr>
  </w:style>
  <w:style w:type="character" w:styleId="Hyperlink">
    <w:name w:val="Hyperlink"/>
    <w:basedOn w:val="DefaultParagraphFont"/>
    <w:uiPriority w:val="99"/>
    <w:unhideWhenUsed/>
    <w:rsid w:val="0063799E"/>
    <w:rPr>
      <w:color w:val="0000FF"/>
      <w:u w:val="single"/>
    </w:rPr>
  </w:style>
  <w:style w:type="character" w:customStyle="1" w:styleId="Heading1Char">
    <w:name w:val="Heading 1 Char"/>
    <w:basedOn w:val="DefaultParagraphFont"/>
    <w:link w:val="Heading1"/>
    <w:uiPriority w:val="9"/>
    <w:rsid w:val="009C30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307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A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5C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42501"/>
    <w:rPr>
      <w:color w:val="605E5C"/>
      <w:shd w:val="clear" w:color="auto" w:fill="E1DFDD"/>
    </w:rPr>
  </w:style>
  <w:style w:type="character" w:customStyle="1" w:styleId="Heading3Char">
    <w:name w:val="Heading 3 Char"/>
    <w:basedOn w:val="DefaultParagraphFont"/>
    <w:link w:val="Heading3"/>
    <w:uiPriority w:val="9"/>
    <w:rsid w:val="00463864"/>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534B"/>
    <w:pPr>
      <w:spacing w:after="0" w:line="240" w:lineRule="auto"/>
    </w:pPr>
  </w:style>
  <w:style w:type="paragraph" w:styleId="CommentSubject">
    <w:name w:val="annotation subject"/>
    <w:basedOn w:val="CommentText"/>
    <w:next w:val="CommentText"/>
    <w:link w:val="CommentSubjectChar"/>
    <w:uiPriority w:val="99"/>
    <w:semiHidden/>
    <w:unhideWhenUsed/>
    <w:rsid w:val="008226BF"/>
    <w:rPr>
      <w:b/>
      <w:bCs/>
    </w:rPr>
  </w:style>
  <w:style w:type="character" w:customStyle="1" w:styleId="CommentSubjectChar">
    <w:name w:val="Comment Subject Char"/>
    <w:basedOn w:val="CommentTextChar"/>
    <w:link w:val="CommentSubject"/>
    <w:uiPriority w:val="99"/>
    <w:semiHidden/>
    <w:rsid w:val="008226BF"/>
    <w:rPr>
      <w:b/>
      <w:bCs/>
      <w:sz w:val="20"/>
      <w:szCs w:val="20"/>
    </w:rPr>
  </w:style>
  <w:style w:type="paragraph" w:customStyle="1" w:styleId="paragraph">
    <w:name w:val="paragraph"/>
    <w:basedOn w:val="Normal"/>
    <w:rsid w:val="00F907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90732"/>
  </w:style>
  <w:style w:type="character" w:customStyle="1" w:styleId="eop">
    <w:name w:val="eop"/>
    <w:basedOn w:val="DefaultParagraphFont"/>
    <w:rsid w:val="00F90732"/>
  </w:style>
  <w:style w:type="character" w:customStyle="1" w:styleId="Heading4Char">
    <w:name w:val="Heading 4 Char"/>
    <w:basedOn w:val="DefaultParagraphFont"/>
    <w:link w:val="Heading4"/>
    <w:uiPriority w:val="9"/>
    <w:rsid w:val="00CD12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D1290"/>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B727A9"/>
    <w:rPr>
      <w:color w:val="954F72" w:themeColor="followedHyperlink"/>
      <w:u w:val="single"/>
    </w:rPr>
  </w:style>
  <w:style w:type="character" w:styleId="Mention">
    <w:name w:val="Mention"/>
    <w:basedOn w:val="DefaultParagraphFont"/>
    <w:uiPriority w:val="99"/>
    <w:unhideWhenUsed/>
    <w:rsid w:val="003170E0"/>
    <w:rPr>
      <w:color w:val="2B579A"/>
      <w:shd w:val="clear" w:color="auto" w:fill="E1DFDD"/>
    </w:rPr>
  </w:style>
  <w:style w:type="paragraph" w:styleId="TOC1">
    <w:name w:val="toc 1"/>
    <w:basedOn w:val="Normal"/>
    <w:next w:val="Normal"/>
    <w:autoRedefine/>
    <w:uiPriority w:val="39"/>
    <w:unhideWhenUsed/>
    <w:rsid w:val="00DE51E9"/>
    <w:pPr>
      <w:tabs>
        <w:tab w:val="right" w:leader="dot" w:pos="9016"/>
      </w:tabs>
      <w:spacing w:after="100"/>
      <w:ind w:left="220"/>
    </w:pPr>
  </w:style>
  <w:style w:type="paragraph" w:styleId="TOC2">
    <w:name w:val="toc 2"/>
    <w:basedOn w:val="Normal"/>
    <w:next w:val="Normal"/>
    <w:autoRedefine/>
    <w:uiPriority w:val="39"/>
    <w:unhideWhenUsed/>
    <w:rsid w:val="00A6496C"/>
    <w:pPr>
      <w:spacing w:after="100"/>
      <w:ind w:left="220"/>
    </w:pPr>
  </w:style>
  <w:style w:type="paragraph" w:styleId="TOC3">
    <w:name w:val="toc 3"/>
    <w:basedOn w:val="Normal"/>
    <w:next w:val="Normal"/>
    <w:autoRedefine/>
    <w:uiPriority w:val="39"/>
    <w:unhideWhenUsed/>
    <w:rsid w:val="00DE51E9"/>
    <w:pPr>
      <w:tabs>
        <w:tab w:val="right" w:leader="dot" w:pos="9016"/>
      </w:tabs>
      <w:spacing w:after="100"/>
      <w:ind w:left="440"/>
    </w:pPr>
    <w:rPr>
      <w:rFonts w:ascii="Arial" w:hAnsi="Arial" w:cs="Arial"/>
      <w:noProof/>
    </w:rPr>
  </w:style>
  <w:style w:type="character" w:customStyle="1" w:styleId="Heading6Char">
    <w:name w:val="Heading 6 Char"/>
    <w:basedOn w:val="DefaultParagraphFont"/>
    <w:link w:val="Heading6"/>
    <w:uiPriority w:val="9"/>
    <w:rsid w:val="000412B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0098">
      <w:bodyDiv w:val="1"/>
      <w:marLeft w:val="0"/>
      <w:marRight w:val="0"/>
      <w:marTop w:val="0"/>
      <w:marBottom w:val="0"/>
      <w:divBdr>
        <w:top w:val="none" w:sz="0" w:space="0" w:color="auto"/>
        <w:left w:val="none" w:sz="0" w:space="0" w:color="auto"/>
        <w:bottom w:val="none" w:sz="0" w:space="0" w:color="auto"/>
        <w:right w:val="none" w:sz="0" w:space="0" w:color="auto"/>
      </w:divBdr>
    </w:div>
    <w:div w:id="953513227">
      <w:bodyDiv w:val="1"/>
      <w:marLeft w:val="0"/>
      <w:marRight w:val="0"/>
      <w:marTop w:val="0"/>
      <w:marBottom w:val="0"/>
      <w:divBdr>
        <w:top w:val="none" w:sz="0" w:space="0" w:color="auto"/>
        <w:left w:val="none" w:sz="0" w:space="0" w:color="auto"/>
        <w:bottom w:val="none" w:sz="0" w:space="0" w:color="auto"/>
        <w:right w:val="none" w:sz="0" w:space="0" w:color="auto"/>
      </w:divBdr>
    </w:div>
    <w:div w:id="1193960004">
      <w:bodyDiv w:val="1"/>
      <w:marLeft w:val="0"/>
      <w:marRight w:val="0"/>
      <w:marTop w:val="0"/>
      <w:marBottom w:val="0"/>
      <w:divBdr>
        <w:top w:val="none" w:sz="0" w:space="0" w:color="auto"/>
        <w:left w:val="none" w:sz="0" w:space="0" w:color="auto"/>
        <w:bottom w:val="none" w:sz="0" w:space="0" w:color="auto"/>
        <w:right w:val="none" w:sz="0" w:space="0" w:color="auto"/>
      </w:divBdr>
    </w:div>
    <w:div w:id="1436709558">
      <w:bodyDiv w:val="1"/>
      <w:marLeft w:val="0"/>
      <w:marRight w:val="0"/>
      <w:marTop w:val="0"/>
      <w:marBottom w:val="0"/>
      <w:divBdr>
        <w:top w:val="none" w:sz="0" w:space="0" w:color="auto"/>
        <w:left w:val="none" w:sz="0" w:space="0" w:color="auto"/>
        <w:bottom w:val="none" w:sz="0" w:space="0" w:color="auto"/>
        <w:right w:val="none" w:sz="0" w:space="0" w:color="auto"/>
      </w:divBdr>
      <w:divsChild>
        <w:div w:id="163521294">
          <w:marLeft w:val="0"/>
          <w:marRight w:val="0"/>
          <w:marTop w:val="0"/>
          <w:marBottom w:val="0"/>
          <w:divBdr>
            <w:top w:val="none" w:sz="0" w:space="0" w:color="auto"/>
            <w:left w:val="none" w:sz="0" w:space="0" w:color="auto"/>
            <w:bottom w:val="none" w:sz="0" w:space="0" w:color="auto"/>
            <w:right w:val="none" w:sz="0" w:space="0" w:color="auto"/>
          </w:divBdr>
        </w:div>
        <w:div w:id="682122882">
          <w:marLeft w:val="0"/>
          <w:marRight w:val="0"/>
          <w:marTop w:val="0"/>
          <w:marBottom w:val="0"/>
          <w:divBdr>
            <w:top w:val="none" w:sz="0" w:space="0" w:color="auto"/>
            <w:left w:val="none" w:sz="0" w:space="0" w:color="auto"/>
            <w:bottom w:val="none" w:sz="0" w:space="0" w:color="auto"/>
            <w:right w:val="none" w:sz="0" w:space="0" w:color="auto"/>
          </w:divBdr>
        </w:div>
        <w:div w:id="1528713856">
          <w:marLeft w:val="0"/>
          <w:marRight w:val="0"/>
          <w:marTop w:val="0"/>
          <w:marBottom w:val="0"/>
          <w:divBdr>
            <w:top w:val="none" w:sz="0" w:space="0" w:color="auto"/>
            <w:left w:val="none" w:sz="0" w:space="0" w:color="auto"/>
            <w:bottom w:val="none" w:sz="0" w:space="0" w:color="auto"/>
            <w:right w:val="none" w:sz="0" w:space="0" w:color="auto"/>
          </w:divBdr>
        </w:div>
      </w:divsChild>
    </w:div>
    <w:div w:id="1459028848">
      <w:bodyDiv w:val="1"/>
      <w:marLeft w:val="0"/>
      <w:marRight w:val="0"/>
      <w:marTop w:val="0"/>
      <w:marBottom w:val="0"/>
      <w:divBdr>
        <w:top w:val="none" w:sz="0" w:space="0" w:color="auto"/>
        <w:left w:val="none" w:sz="0" w:space="0" w:color="auto"/>
        <w:bottom w:val="none" w:sz="0" w:space="0" w:color="auto"/>
        <w:right w:val="none" w:sz="0" w:space="0" w:color="auto"/>
      </w:divBdr>
      <w:divsChild>
        <w:div w:id="594478513">
          <w:marLeft w:val="0"/>
          <w:marRight w:val="0"/>
          <w:marTop w:val="0"/>
          <w:marBottom w:val="0"/>
          <w:divBdr>
            <w:top w:val="none" w:sz="0" w:space="0" w:color="auto"/>
            <w:left w:val="none" w:sz="0" w:space="0" w:color="auto"/>
            <w:bottom w:val="none" w:sz="0" w:space="0" w:color="auto"/>
            <w:right w:val="none" w:sz="0" w:space="0" w:color="auto"/>
          </w:divBdr>
        </w:div>
      </w:divsChild>
    </w:div>
    <w:div w:id="1806268525">
      <w:bodyDiv w:val="1"/>
      <w:marLeft w:val="0"/>
      <w:marRight w:val="0"/>
      <w:marTop w:val="0"/>
      <w:marBottom w:val="0"/>
      <w:divBdr>
        <w:top w:val="none" w:sz="0" w:space="0" w:color="auto"/>
        <w:left w:val="none" w:sz="0" w:space="0" w:color="auto"/>
        <w:bottom w:val="none" w:sz="0" w:space="0" w:color="auto"/>
        <w:right w:val="none" w:sz="0" w:space="0" w:color="auto"/>
      </w:divBdr>
    </w:div>
    <w:div w:id="19043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NA xmlns="95a6d21c-7db0-4b7e-981f-b4f22b02b9d8">Not of potential interest</TNA>
    <ReviewDate xmlns="95a6d21c-7db0-4b7e-981f-b4f22b02b9d8" xsi:nil="true"/>
  </documentManagement>
</p:properties>
</file>

<file path=customXml/item3.xml><?xml version="1.0" encoding="utf-8"?>
<?mso-contentType ?>
<SharedContentType xmlns="Microsoft.SharePoint.Taxonomy.ContentTypeSync" SourceId="b1bb55a9-a1b5-4196-b12d-1833970ed366" ContentTypeId="0x01010008EC4BDFB4C3D542892399C37F0B505F" PreviousValue="false"/>
</file>

<file path=customXml/item4.xml><?xml version="1.0" encoding="utf-8"?>
<ct:contentTypeSchema xmlns:ct="http://schemas.microsoft.com/office/2006/metadata/contentType" xmlns:ma="http://schemas.microsoft.com/office/2006/metadata/properties/metaAttributes" ct:_="" ma:_="" ma:contentTypeName="Met Office Document" ma:contentTypeID="0x01010008EC4BDFB4C3D542892399C37F0B505F00A460E3CB5154D246B15F843E1A8C315D" ma:contentTypeVersion="28" ma:contentTypeDescription="" ma:contentTypeScope="" ma:versionID="9abe3389f5d5ada4759c838ecbb9f92f">
  <xsd:schema xmlns:xsd="http://www.w3.org/2001/XMLSchema" xmlns:xs="http://www.w3.org/2001/XMLSchema" xmlns:p="http://schemas.microsoft.com/office/2006/metadata/properties" xmlns:ns2="95a6d21c-7db0-4b7e-981f-b4f22b02b9d8" targetNamespace="http://schemas.microsoft.com/office/2006/metadata/properties" ma:root="true" ma:fieldsID="9797b4c60cd823bbf6e5d1857d68bbc4" ns2:_="">
    <xsd:import namespace="95a6d21c-7db0-4b7e-981f-b4f22b02b9d8"/>
    <xsd:element name="properties">
      <xsd:complexType>
        <xsd:sequence>
          <xsd:element name="documentManagement">
            <xsd:complexType>
              <xsd:all>
                <xsd:element ref="ns2:TNA"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NA" ma:index="1" nillable="true" ma:displayName="TNA" ma:default="Not of potential interest" ma:format="Dropdown" ma:internalName="TNA">
      <xsd:simpleType>
        <xsd:restriction base="dms:Choice">
          <xsd:enumeration value="Not of potential interest"/>
          <xsd:enumeration value="Potential TNA Record"/>
          <xsd:enumeration value="Flagged for TNA"/>
          <xsd:enumeration value="List to TNA"/>
          <xsd:enumeration value="Not listed to TNA"/>
          <xsd:enumeration value="Transferred to TNA"/>
          <xsd:enumeration value="Published by TNA"/>
        </xsd:restriction>
      </xsd:simpleType>
    </xsd:element>
    <xsd:element name="ReviewDate" ma:index="2"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EDEF5-386F-4238-A87F-6801A006C797}">
  <ds:schemaRefs>
    <ds:schemaRef ds:uri="http://schemas.microsoft.com/sharepoint/v3/contenttype/forms"/>
  </ds:schemaRefs>
</ds:datastoreItem>
</file>

<file path=customXml/itemProps2.xml><?xml version="1.0" encoding="utf-8"?>
<ds:datastoreItem xmlns:ds="http://schemas.openxmlformats.org/officeDocument/2006/customXml" ds:itemID="{F768B12A-B5AF-4A06-89CE-B8952A6510F4}">
  <ds:schemaRef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95a6d21c-7db0-4b7e-981f-b4f22b02b9d8"/>
    <ds:schemaRef ds:uri="http://schemas.microsoft.com/office/2006/metadata/properties"/>
  </ds:schemaRefs>
</ds:datastoreItem>
</file>

<file path=customXml/itemProps3.xml><?xml version="1.0" encoding="utf-8"?>
<ds:datastoreItem xmlns:ds="http://schemas.openxmlformats.org/officeDocument/2006/customXml" ds:itemID="{A55E1E2F-1D37-4B01-83E6-3A37DFEBC81D}">
  <ds:schemaRefs>
    <ds:schemaRef ds:uri="Microsoft.SharePoint.Taxonomy.ContentTypeSync"/>
  </ds:schemaRefs>
</ds:datastoreItem>
</file>

<file path=customXml/itemProps4.xml><?xml version="1.0" encoding="utf-8"?>
<ds:datastoreItem xmlns:ds="http://schemas.openxmlformats.org/officeDocument/2006/customXml" ds:itemID="{889BA930-B2C4-4AA5-AA24-546D17D4A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6d21c-7db0-4b7e-981f-b4f22b02b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3384</Words>
  <Characters>19289</Characters>
  <Application>Microsoft Office Word</Application>
  <DocSecurity>0</DocSecurity>
  <Lines>160</Lines>
  <Paragraphs>45</Paragraphs>
  <ScaleCrop>false</ScaleCrop>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Ward-Rice</dc:creator>
  <cp:keywords/>
  <dc:description/>
  <cp:lastModifiedBy>Susan Ward-Rice</cp:lastModifiedBy>
  <cp:revision>40</cp:revision>
  <dcterms:created xsi:type="dcterms:W3CDTF">2024-03-27T13:14:00Z</dcterms:created>
  <dcterms:modified xsi:type="dcterms:W3CDTF">2024-03-28T13:02:00Z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0x01010008EC4BDFB4C3D542892399C37F0B505F00A460E3CB5154D246B15F843E1A8C315D</vt:lpwstr>
  </property>
  <property fmtid="{D5CDD505-2E9C-101B-9397-08002B2CF9AE}" pid="4" name="g61834c2a8994a3bb19491beacc2ee24">
    <vt:lpwstr/>
  </property>
  <property fmtid="{D5CDD505-2E9C-101B-9397-08002B2CF9AE}" pid="5" name="na37caddb7804fc0850c6eb34a88bf38">
    <vt:lpwstr/>
  </property>
  <property fmtid="{D5CDD505-2E9C-101B-9397-08002B2CF9AE}" pid="6" name="ContractTag">
    <vt:lpwstr/>
  </property>
  <property fmtid="{D5CDD505-2E9C-101B-9397-08002B2CF9AE}" pid="7" name="PublicationTag">
    <vt:lpwstr/>
  </property>
  <property fmtid="{D5CDD505-2E9C-101B-9397-08002B2CF9AE}" pid="8" name="StrategyTag">
    <vt:lpwstr/>
  </property>
  <property fmtid="{D5CDD505-2E9C-101B-9397-08002B2CF9AE}" pid="9" name="d1e12b56356c4ce3815324331501f311">
    <vt:lpwstr/>
  </property>
  <property fmtid="{D5CDD505-2E9C-101B-9397-08002B2CF9AE}" pid="10" name="GuidanceTag">
    <vt:lpwstr/>
  </property>
  <property fmtid="{D5CDD505-2E9C-101B-9397-08002B2CF9AE}" pid="11" name="p8802d33397b4f1688b4565458159d1a">
    <vt:lpwstr/>
  </property>
  <property fmtid="{D5CDD505-2E9C-101B-9397-08002B2CF9AE}" pid="12" name="PolicyTag">
    <vt:lpwstr/>
  </property>
  <property fmtid="{D5CDD505-2E9C-101B-9397-08002B2CF9AE}" pid="13" name="ProcedureTag">
    <vt:lpwstr/>
  </property>
  <property fmtid="{D5CDD505-2E9C-101B-9397-08002B2CF9AE}" pid="14" name="e0fbcb2b2f4141fa91664789ede40907">
    <vt:lpwstr/>
  </property>
  <property fmtid="{D5CDD505-2E9C-101B-9397-08002B2CF9AE}" pid="15" name="ce71408790b24bd9b3b098338c9f9e07">
    <vt:lpwstr/>
  </property>
  <property fmtid="{D5CDD505-2E9C-101B-9397-08002B2CF9AE}" pid="16" name="n3dbebb5b6f24692895436822c1b74c9">
    <vt:lpwstr/>
  </property>
  <property fmtid="{D5CDD505-2E9C-101B-9397-08002B2CF9AE}" pid="17" name="ISO_x0020_Standard">
    <vt:lpwstr/>
  </property>
  <property fmtid="{D5CDD505-2E9C-101B-9397-08002B2CF9AE}" pid="18" name="LessonsLearntTag">
    <vt:lpwstr/>
  </property>
  <property fmtid="{D5CDD505-2E9C-101B-9397-08002B2CF9AE}" pid="19" name="TemplateTag">
    <vt:lpwstr/>
  </property>
  <property fmtid="{D5CDD505-2E9C-101B-9397-08002B2CF9AE}" pid="20" name="SharedWithUsers">
    <vt:lpwstr>990;#Tammy Lillie;#854;#Sally Cole;#856;#Penny Endersby;#1522;#Mark Bevan;#127;#George Burningham</vt:lpwstr>
  </property>
  <property fmtid="{D5CDD505-2E9C-101B-9397-08002B2CF9AE}" pid="21" name="lcf76f155ced4ddcb4097134ff3c332f">
    <vt:lpwstr/>
  </property>
  <property fmtid="{D5CDD505-2E9C-101B-9397-08002B2CF9AE}" pid="22" name="TaxCatchAll">
    <vt:lpwstr/>
  </property>
  <property fmtid="{D5CDD505-2E9C-101B-9397-08002B2CF9AE}" pid="23" name="od012b8dd340440fb8b5ab7b14c2047c">
    <vt:lpwstr/>
  </property>
  <property fmtid="{D5CDD505-2E9C-101B-9397-08002B2CF9AE}" pid="24" name="abcd3bb06f6d42148b7832b5b580b1de">
    <vt:lpwstr/>
  </property>
  <property fmtid="{D5CDD505-2E9C-101B-9397-08002B2CF9AE}" pid="25" name="ISO Standard">
    <vt:lpwstr/>
  </property>
</Properties>
</file>